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991" w:rsidRPr="00D04991" w:rsidRDefault="00AA2D10">
      <w:pPr>
        <w:jc w:val="center"/>
        <w:rPr>
          <w:b/>
          <w:sz w:val="28"/>
          <w:szCs w:val="28"/>
        </w:rPr>
      </w:pPr>
      <w:r w:rsidRPr="00D04991">
        <w:rPr>
          <w:b/>
          <w:sz w:val="28"/>
          <w:szCs w:val="28"/>
        </w:rPr>
        <w:br/>
      </w:r>
      <w:r w:rsidRPr="00D04991">
        <w:rPr>
          <w:b/>
          <w:sz w:val="28"/>
          <w:szCs w:val="28"/>
        </w:rPr>
        <w:br/>
      </w:r>
    </w:p>
    <w:p w:rsidR="008813B8" w:rsidRPr="00D04991" w:rsidRDefault="00AA2D10">
      <w:pPr>
        <w:jc w:val="center"/>
        <w:rPr>
          <w:rFonts w:hint="eastAsia"/>
          <w:sz w:val="40"/>
          <w:szCs w:val="40"/>
        </w:rPr>
      </w:pPr>
      <w:r w:rsidRPr="00D04991">
        <w:rPr>
          <w:b/>
          <w:sz w:val="28"/>
          <w:szCs w:val="28"/>
        </w:rPr>
        <w:br/>
      </w:r>
      <w:r w:rsidRPr="00D04991">
        <w:rPr>
          <w:b/>
          <w:sz w:val="40"/>
          <w:szCs w:val="40"/>
        </w:rPr>
        <w:t>DELTA STATE INVESTMENT DEVELOPMENT AGENCY</w:t>
      </w:r>
      <w:r w:rsidRPr="00D04991">
        <w:rPr>
          <w:b/>
          <w:sz w:val="40"/>
          <w:szCs w:val="40"/>
        </w:rPr>
        <w:br/>
      </w:r>
    </w:p>
    <w:p w:rsidR="008813B8" w:rsidRPr="00D04991" w:rsidRDefault="00AA2D10">
      <w:pPr>
        <w:jc w:val="center"/>
        <w:rPr>
          <w:rFonts w:hint="eastAsia"/>
          <w:sz w:val="48"/>
          <w:szCs w:val="48"/>
        </w:rPr>
      </w:pPr>
      <w:r w:rsidRPr="00D04991">
        <w:rPr>
          <w:b/>
          <w:sz w:val="48"/>
          <w:szCs w:val="48"/>
        </w:rPr>
        <w:t>DIDA</w:t>
      </w:r>
    </w:p>
    <w:p w:rsidR="008813B8" w:rsidRPr="00D04991" w:rsidRDefault="00AA2D10">
      <w:pPr>
        <w:jc w:val="center"/>
        <w:rPr>
          <w:rFonts w:hint="eastAsia"/>
          <w:sz w:val="48"/>
          <w:szCs w:val="48"/>
        </w:rPr>
      </w:pPr>
      <w:r w:rsidRPr="00D04991">
        <w:rPr>
          <w:b/>
          <w:sz w:val="48"/>
          <w:szCs w:val="48"/>
        </w:rPr>
        <w:t>CORPORATE PLAN 2025–2028</w:t>
      </w:r>
    </w:p>
    <w:p w:rsidR="008813B8" w:rsidRPr="00D04991" w:rsidRDefault="00AA2D10">
      <w:pPr>
        <w:jc w:val="center"/>
        <w:rPr>
          <w:rFonts w:hint="eastAsia"/>
          <w:sz w:val="28"/>
          <w:szCs w:val="28"/>
        </w:rPr>
      </w:pPr>
      <w:r w:rsidRPr="00D04991">
        <w:rPr>
          <w:i/>
          <w:sz w:val="28"/>
          <w:szCs w:val="28"/>
        </w:rPr>
        <w:br/>
        <w:t>Investment Promotion • Facilitation • Retention • Aftercare</w:t>
      </w:r>
      <w:r w:rsidRPr="00D04991">
        <w:rPr>
          <w:i/>
          <w:sz w:val="28"/>
          <w:szCs w:val="28"/>
        </w:rPr>
        <w:br/>
      </w:r>
      <w:r w:rsidRPr="00D04991">
        <w:rPr>
          <w:b/>
          <w:sz w:val="28"/>
          <w:szCs w:val="28"/>
        </w:rPr>
        <w:t>#Invest Delta</w:t>
      </w:r>
    </w:p>
    <w:p w:rsidR="00D04991" w:rsidRPr="00D04991" w:rsidRDefault="00D04991">
      <w:pPr>
        <w:jc w:val="center"/>
        <w:rPr>
          <w:sz w:val="28"/>
          <w:szCs w:val="28"/>
        </w:rPr>
      </w:pPr>
    </w:p>
    <w:p w:rsidR="00D04991" w:rsidRPr="00D04991" w:rsidRDefault="00D04991">
      <w:pPr>
        <w:jc w:val="center"/>
        <w:rPr>
          <w:sz w:val="28"/>
          <w:szCs w:val="28"/>
        </w:rPr>
      </w:pPr>
    </w:p>
    <w:p w:rsidR="00D04991" w:rsidRPr="00D04991" w:rsidRDefault="00D04991">
      <w:pPr>
        <w:jc w:val="center"/>
        <w:rPr>
          <w:sz w:val="28"/>
          <w:szCs w:val="28"/>
        </w:rPr>
      </w:pPr>
    </w:p>
    <w:p w:rsidR="00D04991" w:rsidRPr="00D04991" w:rsidRDefault="00D04991">
      <w:pPr>
        <w:jc w:val="center"/>
        <w:rPr>
          <w:sz w:val="28"/>
          <w:szCs w:val="28"/>
        </w:rPr>
      </w:pPr>
    </w:p>
    <w:p w:rsidR="00D04991" w:rsidRPr="00D04991" w:rsidRDefault="00D04991">
      <w:pPr>
        <w:jc w:val="center"/>
        <w:rPr>
          <w:sz w:val="28"/>
          <w:szCs w:val="28"/>
        </w:rPr>
      </w:pPr>
    </w:p>
    <w:p w:rsidR="00D04991" w:rsidRPr="00D04991" w:rsidRDefault="00D04991" w:rsidP="00D04991">
      <w:pPr>
        <w:rPr>
          <w:sz w:val="28"/>
          <w:szCs w:val="28"/>
        </w:rPr>
      </w:pPr>
    </w:p>
    <w:p w:rsidR="008813B8" w:rsidRPr="00D04991" w:rsidRDefault="00AA2D10">
      <w:pPr>
        <w:jc w:val="center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br/>
        <w:t>Prepared by the Delta State Investment Development Agency (DIDA</w:t>
      </w:r>
      <w:proofErr w:type="gramStart"/>
      <w:r w:rsidRPr="00D04991">
        <w:rPr>
          <w:sz w:val="28"/>
          <w:szCs w:val="28"/>
        </w:rPr>
        <w:t>)</w:t>
      </w:r>
      <w:proofErr w:type="gramEnd"/>
      <w:r w:rsidRPr="00D04991">
        <w:rPr>
          <w:sz w:val="28"/>
          <w:szCs w:val="28"/>
        </w:rPr>
        <w:br/>
        <w:t>For institutional planning, performance management and investment-promotion implementation</w:t>
      </w:r>
      <w:r w:rsidRPr="00D04991">
        <w:rPr>
          <w:sz w:val="28"/>
          <w:szCs w:val="28"/>
        </w:rPr>
        <w:br/>
      </w:r>
      <w:r w:rsidRPr="00D04991">
        <w:rPr>
          <w:sz w:val="28"/>
          <w:szCs w:val="28"/>
        </w:rPr>
        <w:br/>
        <w:t>2025–2028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br w:type="page"/>
      </w:r>
    </w:p>
    <w:p w:rsidR="008813B8" w:rsidRDefault="00AA2D10" w:rsidP="00D04991">
      <w:pPr>
        <w:pStyle w:val="Heading1"/>
        <w:jc w:val="center"/>
      </w:pPr>
      <w:r w:rsidRPr="00D04991">
        <w:lastRenderedPageBreak/>
        <w:t>TABLE OF CONTENTS</w:t>
      </w:r>
    </w:p>
    <w:p w:rsidR="00D04991" w:rsidRPr="00D04991" w:rsidRDefault="00D04991" w:rsidP="00D04991"/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1. Executive Summary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2. Chapter One: Introduction and Strategic Context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3. Chapter Two: Mandate, Vision, Mission and Strategic Direction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4. Chapter Three: Delta State Investment Opportunity and Priority Sectors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5. Chapter Four: Strategic Objectives and Programmes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6. Chapter Five: Flagship Investment Projects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7. Chapter Six: Three Priority Investment Projects and PPP Framework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8. Chapter Seven: Implementation Roadmap 2025–2028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9. Chapter Eight: Results Framework — Inputs, Outputs, Outcomes and Impact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10. Chapter Nine: Key Performance Indicators and Targets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11. Chapter Ten: Investment Facilitation, One Stop Shop and Investor Aftercare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12. Chapter Eleven: Institutional Coordination and Governance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13. Chapter Twelve: Monitoring, Evaluation, Learning and Reporting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14. Chapter Thirteen: Risk Management</w:t>
      </w:r>
      <w:r w:rsidR="0044497D">
        <w:rPr>
          <w:sz w:val="28"/>
          <w:szCs w:val="28"/>
        </w:rPr>
        <w:t xml:space="preserve">, </w:t>
      </w:r>
      <w:r w:rsidR="0044497D" w:rsidRPr="00D04991">
        <w:rPr>
          <w:sz w:val="28"/>
          <w:szCs w:val="28"/>
        </w:rPr>
        <w:t xml:space="preserve">Financing and Resource </w:t>
      </w:r>
      <w:r w:rsidR="00263FA2" w:rsidRPr="00D04991">
        <w:rPr>
          <w:sz w:val="28"/>
          <w:szCs w:val="28"/>
        </w:rPr>
        <w:t>Mobilization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15. Chapter Fourteen: Conclusion</w:t>
      </w:r>
    </w:p>
    <w:p w:rsidR="008813B8" w:rsidRPr="00D04991" w:rsidRDefault="0044497D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16</w:t>
      </w:r>
      <w:r w:rsidR="00AA2D10" w:rsidRPr="00D04991">
        <w:rPr>
          <w:sz w:val="28"/>
          <w:szCs w:val="28"/>
        </w:rPr>
        <w:t>. Annex I: Indicative Project Pipeline</w:t>
      </w:r>
    </w:p>
    <w:p w:rsidR="008813B8" w:rsidRPr="00D04991" w:rsidRDefault="0044497D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19</w:t>
      </w:r>
      <w:r w:rsidR="00AA2D10" w:rsidRPr="00D04991">
        <w:rPr>
          <w:sz w:val="28"/>
          <w:szCs w:val="28"/>
        </w:rPr>
        <w:t>. Annex II: Annual KPI Matrix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br w:type="page"/>
      </w:r>
    </w:p>
    <w:p w:rsidR="008813B8" w:rsidRPr="00D04991" w:rsidRDefault="00AA2D10" w:rsidP="00D04991">
      <w:pPr>
        <w:pStyle w:val="Heading1"/>
        <w:jc w:val="center"/>
      </w:pPr>
      <w:r w:rsidRPr="00D04991">
        <w:lastRenderedPageBreak/>
        <w:t>EXECUTIVE SUMMARY</w:t>
      </w:r>
    </w:p>
    <w:p w:rsidR="00D04991" w:rsidRDefault="00D04991">
      <w:pPr>
        <w:rPr>
          <w:sz w:val="28"/>
          <w:szCs w:val="28"/>
        </w:rPr>
      </w:pP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The Delta State Investment Development Agency (DIDA) Corporate Plan 2025–2028 provides a four-year strategic framework for positioning Delta State as a competitive and preferred investment destination. The Plan translates DIDA’s statutory investment-promotion role into measurable programmes covering investment attraction, facilitation, retention, aftercare, investment intelligence, project development and public-private partnership (PPP) mobilisation.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The Plan is anchored on Delta State’s comparative advantages in oil and gas, agro-processing and agriculture, manufacturing, marine and logistics, digital economy, power and renewable energy, and emerging industrial clusters. It adopts an investor-centred approach in which investment opportunities are developed into credible propositions with clear locations, infrastructure requirements, commercial models, incentives, implementation arrangements and expected economic outcomes.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 xml:space="preserve">Three priority investment projects are highlighted for focused development during the Plan period: </w:t>
      </w:r>
      <w:r w:rsidRPr="00263FA2">
        <w:rPr>
          <w:b/>
          <w:sz w:val="28"/>
          <w:szCs w:val="28"/>
        </w:rPr>
        <w:t xml:space="preserve">an agro-processing platform around the </w:t>
      </w:r>
      <w:proofErr w:type="spellStart"/>
      <w:r w:rsidRPr="00263FA2">
        <w:rPr>
          <w:b/>
          <w:sz w:val="28"/>
          <w:szCs w:val="28"/>
        </w:rPr>
        <w:t>Aboh</w:t>
      </w:r>
      <w:proofErr w:type="spellEnd"/>
      <w:r w:rsidRPr="00263FA2">
        <w:rPr>
          <w:b/>
          <w:sz w:val="28"/>
          <w:szCs w:val="28"/>
        </w:rPr>
        <w:t>-Ogwashi-Uku corridor</w:t>
      </w:r>
      <w:r w:rsidRPr="00D04991">
        <w:rPr>
          <w:sz w:val="28"/>
          <w:szCs w:val="28"/>
        </w:rPr>
        <w:t xml:space="preserve">; </w:t>
      </w:r>
      <w:r w:rsidR="00D04991" w:rsidRPr="00263FA2">
        <w:rPr>
          <w:b/>
          <w:sz w:val="28"/>
          <w:szCs w:val="28"/>
        </w:rPr>
        <w:t>value</w:t>
      </w:r>
      <w:r w:rsidRPr="00263FA2">
        <w:rPr>
          <w:b/>
          <w:sz w:val="28"/>
          <w:szCs w:val="28"/>
        </w:rPr>
        <w:t>-added oil and gas/energy investment platform</w:t>
      </w:r>
      <w:r w:rsidRPr="00D04991">
        <w:rPr>
          <w:sz w:val="28"/>
          <w:szCs w:val="28"/>
        </w:rPr>
        <w:t xml:space="preserve">; and </w:t>
      </w:r>
      <w:r w:rsidRPr="00263FA2">
        <w:rPr>
          <w:b/>
          <w:sz w:val="28"/>
          <w:szCs w:val="28"/>
        </w:rPr>
        <w:t>a manufacturing/</w:t>
      </w:r>
      <w:r w:rsidR="00263FA2">
        <w:rPr>
          <w:b/>
          <w:sz w:val="28"/>
          <w:szCs w:val="28"/>
        </w:rPr>
        <w:t xml:space="preserve"> </w:t>
      </w:r>
      <w:r w:rsidRPr="00263FA2">
        <w:rPr>
          <w:b/>
          <w:sz w:val="28"/>
          <w:szCs w:val="28"/>
        </w:rPr>
        <w:t>industrial cluster linked to existing industrial activity and the Kwale/Koko Special Economic Zone ecosystem</w:t>
      </w:r>
      <w:r w:rsidRPr="00D04991">
        <w:rPr>
          <w:sz w:val="28"/>
          <w:szCs w:val="28"/>
        </w:rPr>
        <w:t>. Each project is intended to be developed through bankable feasibility work and appropriate PPP structures, subject to due diligence and approvals.</w:t>
      </w:r>
    </w:p>
    <w:p w:rsidR="008813B8" w:rsidRDefault="00AA2D10">
      <w:pPr>
        <w:rPr>
          <w:sz w:val="28"/>
          <w:szCs w:val="28"/>
        </w:rPr>
      </w:pPr>
      <w:r w:rsidRPr="00D04991">
        <w:rPr>
          <w:sz w:val="28"/>
          <w:szCs w:val="28"/>
        </w:rPr>
        <w:t>The Plan also strengthens the One Stop Shop as a practical investor-facing mechanism for coordinated approvals, information, issue escalation and inter-agency facilitation. A results framework links inputs to outputs, outcomes and longer-term impact, while KPIs provide a basis for annual performance review a</w:t>
      </w:r>
      <w:r w:rsidR="00263FA2">
        <w:rPr>
          <w:sz w:val="28"/>
          <w:szCs w:val="28"/>
        </w:rPr>
        <w:t>nd evidence-based reporting to G</w:t>
      </w:r>
      <w:r w:rsidRPr="00D04991">
        <w:rPr>
          <w:sz w:val="28"/>
          <w:szCs w:val="28"/>
        </w:rPr>
        <w:t>overnment and relevant reform programmes.</w:t>
      </w:r>
    </w:p>
    <w:p w:rsidR="00D04991" w:rsidRDefault="00D04991">
      <w:pPr>
        <w:rPr>
          <w:sz w:val="28"/>
          <w:szCs w:val="28"/>
        </w:rPr>
      </w:pPr>
    </w:p>
    <w:p w:rsidR="00D04991" w:rsidRDefault="00D04991">
      <w:pPr>
        <w:rPr>
          <w:sz w:val="28"/>
          <w:szCs w:val="28"/>
        </w:rPr>
      </w:pPr>
    </w:p>
    <w:p w:rsidR="00D04991" w:rsidRDefault="00D04991">
      <w:pPr>
        <w:rPr>
          <w:sz w:val="28"/>
          <w:szCs w:val="28"/>
        </w:rPr>
      </w:pPr>
    </w:p>
    <w:p w:rsidR="00D04991" w:rsidRDefault="00D04991">
      <w:pPr>
        <w:rPr>
          <w:sz w:val="28"/>
          <w:szCs w:val="28"/>
        </w:rPr>
      </w:pPr>
    </w:p>
    <w:p w:rsidR="00D04991" w:rsidRDefault="00D04991">
      <w:pPr>
        <w:rPr>
          <w:sz w:val="28"/>
          <w:szCs w:val="28"/>
        </w:rPr>
      </w:pPr>
    </w:p>
    <w:p w:rsidR="00D04991" w:rsidRPr="00D04991" w:rsidRDefault="00D04991">
      <w:pPr>
        <w:rPr>
          <w:rFonts w:hint="eastAsia"/>
          <w:sz w:val="28"/>
          <w:szCs w:val="28"/>
        </w:rPr>
      </w:pPr>
    </w:p>
    <w:p w:rsidR="008813B8" w:rsidRDefault="00AA2D10" w:rsidP="00D04991">
      <w:pPr>
        <w:pStyle w:val="Heading2"/>
        <w:jc w:val="center"/>
        <w:rPr>
          <w:sz w:val="28"/>
          <w:szCs w:val="28"/>
        </w:rPr>
      </w:pPr>
      <w:r w:rsidRPr="00D04991">
        <w:rPr>
          <w:sz w:val="28"/>
          <w:szCs w:val="28"/>
        </w:rPr>
        <w:lastRenderedPageBreak/>
        <w:t>Strategic Results at a Glance</w:t>
      </w:r>
    </w:p>
    <w:p w:rsidR="00D04991" w:rsidRPr="00D04991" w:rsidRDefault="00D04991" w:rsidP="00D04991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00"/>
        <w:gridCol w:w="5436"/>
      </w:tblGrid>
      <w:tr w:rsidR="008813B8" w:rsidRPr="00D04991" w:rsidTr="00D04991">
        <w:trPr>
          <w:jc w:val="center"/>
        </w:trPr>
        <w:tc>
          <w:tcPr>
            <w:tcW w:w="4500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Result Area</w:t>
            </w:r>
          </w:p>
        </w:tc>
        <w:tc>
          <w:tcPr>
            <w:tcW w:w="5436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2025–2028 Direction</w:t>
            </w:r>
          </w:p>
        </w:tc>
      </w:tr>
      <w:tr w:rsidR="008813B8" w:rsidRPr="00D04991" w:rsidTr="00D04991">
        <w:trPr>
          <w:jc w:val="center"/>
        </w:trPr>
        <w:tc>
          <w:tcPr>
            <w:tcW w:w="4500" w:type="dxa"/>
            <w:vAlign w:val="center"/>
          </w:tcPr>
          <w:p w:rsidR="008813B8" w:rsidRPr="00D04991" w:rsidRDefault="00AA2D10" w:rsidP="00263FA2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Investment attraction</w:t>
            </w:r>
          </w:p>
        </w:tc>
        <w:tc>
          <w:tcPr>
            <w:tcW w:w="5436" w:type="dxa"/>
            <w:vAlign w:val="center"/>
          </w:tcPr>
          <w:p w:rsidR="008813B8" w:rsidRPr="00D04991" w:rsidRDefault="00AA2D10" w:rsidP="00263FA2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Build and convert a qualified pipeline of domestic and foreign investors.</w:t>
            </w:r>
          </w:p>
        </w:tc>
      </w:tr>
      <w:tr w:rsidR="008813B8" w:rsidRPr="00D04991" w:rsidTr="00D04991">
        <w:trPr>
          <w:jc w:val="center"/>
        </w:trPr>
        <w:tc>
          <w:tcPr>
            <w:tcW w:w="4500" w:type="dxa"/>
            <w:vAlign w:val="center"/>
          </w:tcPr>
          <w:p w:rsidR="008813B8" w:rsidRPr="00D04991" w:rsidRDefault="00AA2D10" w:rsidP="00263FA2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Investment facilitation</w:t>
            </w:r>
          </w:p>
        </w:tc>
        <w:tc>
          <w:tcPr>
            <w:tcW w:w="5436" w:type="dxa"/>
            <w:vAlign w:val="center"/>
          </w:tcPr>
          <w:p w:rsidR="008813B8" w:rsidRPr="00D04991" w:rsidRDefault="00AA2D10" w:rsidP="00263FA2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Provide coordinated, time-bound support through DIDA/One Stop Shop and partner MDAs.</w:t>
            </w:r>
          </w:p>
        </w:tc>
      </w:tr>
      <w:tr w:rsidR="008813B8" w:rsidRPr="00D04991" w:rsidTr="00D04991">
        <w:trPr>
          <w:jc w:val="center"/>
        </w:trPr>
        <w:tc>
          <w:tcPr>
            <w:tcW w:w="4500" w:type="dxa"/>
            <w:vAlign w:val="center"/>
          </w:tcPr>
          <w:p w:rsidR="008813B8" w:rsidRPr="00D04991" w:rsidRDefault="00AA2D10" w:rsidP="00263FA2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Investment retention &amp; aftercare</w:t>
            </w:r>
          </w:p>
        </w:tc>
        <w:tc>
          <w:tcPr>
            <w:tcW w:w="5436" w:type="dxa"/>
            <w:vAlign w:val="center"/>
          </w:tcPr>
          <w:p w:rsidR="008813B8" w:rsidRPr="00D04991" w:rsidRDefault="00AA2D10" w:rsidP="00263FA2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Support existing investors, resolve issues and encourage expansion/reinvestment.</w:t>
            </w:r>
          </w:p>
        </w:tc>
      </w:tr>
      <w:tr w:rsidR="008813B8" w:rsidRPr="00D04991" w:rsidTr="00D04991">
        <w:trPr>
          <w:jc w:val="center"/>
        </w:trPr>
        <w:tc>
          <w:tcPr>
            <w:tcW w:w="4500" w:type="dxa"/>
            <w:vAlign w:val="center"/>
          </w:tcPr>
          <w:p w:rsidR="008813B8" w:rsidRPr="00D04991" w:rsidRDefault="00AA2D10" w:rsidP="00263FA2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Project development</w:t>
            </w:r>
          </w:p>
        </w:tc>
        <w:tc>
          <w:tcPr>
            <w:tcW w:w="5436" w:type="dxa"/>
            <w:vAlign w:val="center"/>
          </w:tcPr>
          <w:p w:rsidR="008813B8" w:rsidRPr="00D04991" w:rsidRDefault="00AA2D10" w:rsidP="00263FA2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Convert priority opportunities into investment-ready project propositions.</w:t>
            </w:r>
          </w:p>
        </w:tc>
      </w:tr>
      <w:tr w:rsidR="008813B8" w:rsidRPr="00D04991" w:rsidTr="00D04991">
        <w:trPr>
          <w:jc w:val="center"/>
        </w:trPr>
        <w:tc>
          <w:tcPr>
            <w:tcW w:w="4500" w:type="dxa"/>
            <w:vAlign w:val="center"/>
          </w:tcPr>
          <w:p w:rsidR="008813B8" w:rsidRPr="00D04991" w:rsidRDefault="00AA2D10" w:rsidP="00263FA2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PPP mobilisation</w:t>
            </w:r>
          </w:p>
        </w:tc>
        <w:tc>
          <w:tcPr>
            <w:tcW w:w="5436" w:type="dxa"/>
            <w:vAlign w:val="center"/>
          </w:tcPr>
          <w:p w:rsidR="008813B8" w:rsidRPr="00D04991" w:rsidRDefault="00AA2D10" w:rsidP="00263FA2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Structure and advance bankable PPP opportunities with credible private-sector participation.</w:t>
            </w:r>
          </w:p>
        </w:tc>
      </w:tr>
      <w:tr w:rsidR="008813B8" w:rsidRPr="00D04991" w:rsidTr="00D04991">
        <w:trPr>
          <w:jc w:val="center"/>
        </w:trPr>
        <w:tc>
          <w:tcPr>
            <w:tcW w:w="4500" w:type="dxa"/>
            <w:vAlign w:val="center"/>
          </w:tcPr>
          <w:p w:rsidR="008813B8" w:rsidRPr="00D04991" w:rsidRDefault="00AA2D10" w:rsidP="00263FA2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Investment intelligence</w:t>
            </w:r>
          </w:p>
        </w:tc>
        <w:tc>
          <w:tcPr>
            <w:tcW w:w="5436" w:type="dxa"/>
            <w:vAlign w:val="center"/>
          </w:tcPr>
          <w:p w:rsidR="008813B8" w:rsidRPr="00D04991" w:rsidRDefault="00AA2D10" w:rsidP="00263FA2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Maintain investor CRM, project pipeline, sector intelligence and evidence-based reporting.</w:t>
            </w:r>
          </w:p>
        </w:tc>
      </w:tr>
      <w:tr w:rsidR="008813B8" w:rsidRPr="00D04991" w:rsidTr="00D04991">
        <w:trPr>
          <w:jc w:val="center"/>
        </w:trPr>
        <w:tc>
          <w:tcPr>
            <w:tcW w:w="4500" w:type="dxa"/>
            <w:vAlign w:val="center"/>
          </w:tcPr>
          <w:p w:rsidR="008813B8" w:rsidRPr="00D04991" w:rsidRDefault="00AA2D10" w:rsidP="00263FA2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Employment &amp; economic impact</w:t>
            </w:r>
          </w:p>
        </w:tc>
        <w:tc>
          <w:tcPr>
            <w:tcW w:w="5436" w:type="dxa"/>
            <w:vAlign w:val="center"/>
          </w:tcPr>
          <w:p w:rsidR="008813B8" w:rsidRPr="00D04991" w:rsidRDefault="00AA2D10" w:rsidP="00263FA2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Support investment-led job creation, local value addition and broader economic diversification.</w:t>
            </w:r>
          </w:p>
        </w:tc>
      </w:tr>
    </w:tbl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br w:type="page"/>
      </w:r>
    </w:p>
    <w:p w:rsidR="00D04991" w:rsidRDefault="00D04991" w:rsidP="00D04991">
      <w:pPr>
        <w:pStyle w:val="Heading1"/>
        <w:jc w:val="center"/>
      </w:pPr>
    </w:p>
    <w:p w:rsidR="00D04991" w:rsidRDefault="00D04991" w:rsidP="00D04991">
      <w:pPr>
        <w:pStyle w:val="Heading1"/>
        <w:jc w:val="center"/>
      </w:pPr>
      <w:r>
        <w:t>CHAPTER ONE</w:t>
      </w:r>
    </w:p>
    <w:p w:rsidR="00D04991" w:rsidRDefault="00AA2D10" w:rsidP="00D04991">
      <w:pPr>
        <w:pStyle w:val="Heading1"/>
        <w:jc w:val="center"/>
      </w:pPr>
      <w:r w:rsidRPr="00D04991">
        <w:t>INTRODUCTION AND STRATEGIC CONTEXT</w:t>
      </w:r>
    </w:p>
    <w:p w:rsidR="00D04991" w:rsidRPr="00D04991" w:rsidRDefault="00D04991" w:rsidP="00D04991"/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DIDA’s role is to facilitate investment into Delta State, improve the investor experience, promote investment opportunities and support the State’s broader economic-development objectives. The 2025–2028 Plan provides a common operating framework for management, departments and partners.</w:t>
      </w:r>
    </w:p>
    <w:p w:rsidR="00D04991" w:rsidRDefault="00D04991">
      <w:pPr>
        <w:pStyle w:val="Heading2"/>
        <w:rPr>
          <w:sz w:val="28"/>
          <w:szCs w:val="28"/>
        </w:rPr>
      </w:pPr>
    </w:p>
    <w:p w:rsidR="008813B8" w:rsidRPr="00D04991" w:rsidRDefault="00AA2D10">
      <w:pPr>
        <w:pStyle w:val="Heading2"/>
        <w:rPr>
          <w:sz w:val="28"/>
          <w:szCs w:val="28"/>
        </w:rPr>
      </w:pPr>
      <w:r w:rsidRPr="00D04991">
        <w:rPr>
          <w:sz w:val="28"/>
          <w:szCs w:val="28"/>
        </w:rPr>
        <w:t>1.1 Planning Principles</w:t>
      </w:r>
    </w:p>
    <w:p w:rsidR="008813B8" w:rsidRPr="00D04991" w:rsidRDefault="00AA2D10" w:rsidP="00263FA2">
      <w:pPr>
        <w:pStyle w:val="ListBullet"/>
        <w:spacing w:line="360" w:lineRule="auto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Investor-centred service delivery</w:t>
      </w:r>
    </w:p>
    <w:p w:rsidR="008813B8" w:rsidRPr="00D04991" w:rsidRDefault="00AA2D10" w:rsidP="00263FA2">
      <w:pPr>
        <w:pStyle w:val="ListBullet"/>
        <w:spacing w:line="360" w:lineRule="auto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Evidence-based investment promotion</w:t>
      </w:r>
    </w:p>
    <w:p w:rsidR="008813B8" w:rsidRPr="00D04991" w:rsidRDefault="00AA2D10" w:rsidP="00263FA2">
      <w:pPr>
        <w:pStyle w:val="ListBullet"/>
        <w:spacing w:line="360" w:lineRule="auto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Sector and project targeting</w:t>
      </w:r>
    </w:p>
    <w:p w:rsidR="008813B8" w:rsidRPr="00D04991" w:rsidRDefault="00AA2D10" w:rsidP="00263FA2">
      <w:pPr>
        <w:pStyle w:val="ListBullet"/>
        <w:spacing w:line="360" w:lineRule="auto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Public-private partnership mobilisation</w:t>
      </w:r>
    </w:p>
    <w:p w:rsidR="008813B8" w:rsidRPr="00D04991" w:rsidRDefault="00AA2D10" w:rsidP="00263FA2">
      <w:pPr>
        <w:pStyle w:val="ListBullet"/>
        <w:spacing w:line="360" w:lineRule="auto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Inter-agency coordination</w:t>
      </w:r>
    </w:p>
    <w:p w:rsidR="008813B8" w:rsidRPr="00D04991" w:rsidRDefault="00AA2D10" w:rsidP="00263FA2">
      <w:pPr>
        <w:pStyle w:val="ListBullet"/>
        <w:spacing w:line="360" w:lineRule="auto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Transparency and accountability</w:t>
      </w:r>
    </w:p>
    <w:p w:rsidR="008813B8" w:rsidRPr="00D04991" w:rsidRDefault="00AA2D10" w:rsidP="00263FA2">
      <w:pPr>
        <w:pStyle w:val="ListBullet"/>
        <w:spacing w:line="360" w:lineRule="auto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Digitalisation and investment intelligence</w:t>
      </w:r>
    </w:p>
    <w:p w:rsidR="008813B8" w:rsidRPr="00D04991" w:rsidRDefault="00AA2D10" w:rsidP="00263FA2">
      <w:pPr>
        <w:pStyle w:val="ListBullet"/>
        <w:spacing w:line="360" w:lineRule="auto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Measurable results and continuous improvement</w:t>
      </w:r>
    </w:p>
    <w:p w:rsidR="00D04991" w:rsidRDefault="00D04991">
      <w:pPr>
        <w:pStyle w:val="Heading1"/>
      </w:pPr>
    </w:p>
    <w:p w:rsidR="00D04991" w:rsidRDefault="00D04991">
      <w:pPr>
        <w:pStyle w:val="Heading1"/>
      </w:pPr>
    </w:p>
    <w:p w:rsidR="00D04991" w:rsidRDefault="00D04991">
      <w:pPr>
        <w:pStyle w:val="Heading1"/>
      </w:pPr>
    </w:p>
    <w:p w:rsidR="00D04991" w:rsidRPr="00D04991" w:rsidRDefault="00D04991" w:rsidP="00D04991"/>
    <w:p w:rsidR="00D04991" w:rsidRDefault="00D04991" w:rsidP="00D04991">
      <w:pPr>
        <w:pStyle w:val="Heading1"/>
        <w:jc w:val="center"/>
      </w:pPr>
    </w:p>
    <w:p w:rsidR="00D04991" w:rsidRDefault="00D04991" w:rsidP="00D04991">
      <w:pPr>
        <w:pStyle w:val="Heading1"/>
        <w:jc w:val="center"/>
      </w:pPr>
      <w:r>
        <w:t>CHAPTER TWO</w:t>
      </w:r>
    </w:p>
    <w:p w:rsidR="008813B8" w:rsidRDefault="00AA2D10" w:rsidP="00D04991">
      <w:pPr>
        <w:pStyle w:val="Heading1"/>
        <w:jc w:val="center"/>
      </w:pPr>
      <w:r w:rsidRPr="00D04991">
        <w:t>MANDATE, VISION, MISSION AND STRATEGIC DIRECTION</w:t>
      </w:r>
    </w:p>
    <w:p w:rsidR="00D04991" w:rsidRPr="00D04991" w:rsidRDefault="00D04991" w:rsidP="00D04991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5256"/>
      </w:tblGrid>
      <w:tr w:rsidR="008813B8" w:rsidRPr="00D04991" w:rsidTr="00D04991">
        <w:trPr>
          <w:jc w:val="center"/>
        </w:trPr>
        <w:tc>
          <w:tcPr>
            <w:tcW w:w="4680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Element</w:t>
            </w:r>
          </w:p>
        </w:tc>
        <w:tc>
          <w:tcPr>
            <w:tcW w:w="5256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Corporate Plan Statement</w:t>
            </w:r>
          </w:p>
        </w:tc>
      </w:tr>
      <w:tr w:rsidR="008813B8" w:rsidRPr="00D04991" w:rsidTr="00D04991">
        <w:trPr>
          <w:jc w:val="center"/>
        </w:trPr>
        <w:tc>
          <w:tcPr>
            <w:tcW w:w="4680" w:type="dxa"/>
            <w:vAlign w:val="center"/>
          </w:tcPr>
          <w:p w:rsidR="008813B8" w:rsidRPr="00D04991" w:rsidRDefault="00AA2D10" w:rsidP="00263FA2">
            <w:pPr>
              <w:spacing w:line="276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Vision</w:t>
            </w:r>
          </w:p>
        </w:tc>
        <w:tc>
          <w:tcPr>
            <w:tcW w:w="5256" w:type="dxa"/>
            <w:vAlign w:val="center"/>
          </w:tcPr>
          <w:p w:rsidR="008813B8" w:rsidRPr="00D04991" w:rsidRDefault="00AA2D10" w:rsidP="00263FA2">
            <w:pPr>
              <w:spacing w:line="276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To position Delta State as a preferred investment destination in Nigeria through a competitive, transparent and investor-responsive environment.</w:t>
            </w:r>
          </w:p>
        </w:tc>
      </w:tr>
      <w:tr w:rsidR="008813B8" w:rsidRPr="00D04991" w:rsidTr="00D04991">
        <w:trPr>
          <w:jc w:val="center"/>
        </w:trPr>
        <w:tc>
          <w:tcPr>
            <w:tcW w:w="4680" w:type="dxa"/>
            <w:vAlign w:val="center"/>
          </w:tcPr>
          <w:p w:rsidR="008813B8" w:rsidRPr="00D04991" w:rsidRDefault="00AA2D10" w:rsidP="00263FA2">
            <w:pPr>
              <w:spacing w:line="276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Mission</w:t>
            </w:r>
          </w:p>
        </w:tc>
        <w:tc>
          <w:tcPr>
            <w:tcW w:w="5256" w:type="dxa"/>
            <w:vAlign w:val="center"/>
          </w:tcPr>
          <w:p w:rsidR="008813B8" w:rsidRPr="00D04991" w:rsidRDefault="00AA2D10" w:rsidP="00263FA2">
            <w:pPr>
              <w:spacing w:line="276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To attract, facilitate, retain and expand sustainable investments through effective investment promotion, investor services, project development, partnerships and aftercare.</w:t>
            </w:r>
          </w:p>
        </w:tc>
      </w:tr>
      <w:tr w:rsidR="008813B8" w:rsidRPr="00D04991" w:rsidTr="00D04991">
        <w:trPr>
          <w:jc w:val="center"/>
        </w:trPr>
        <w:tc>
          <w:tcPr>
            <w:tcW w:w="4680" w:type="dxa"/>
            <w:vAlign w:val="center"/>
          </w:tcPr>
          <w:p w:rsidR="008813B8" w:rsidRPr="00D04991" w:rsidRDefault="00AA2D10" w:rsidP="00263FA2">
            <w:pPr>
              <w:spacing w:line="276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Strategic orientation</w:t>
            </w:r>
          </w:p>
        </w:tc>
        <w:tc>
          <w:tcPr>
            <w:tcW w:w="5256" w:type="dxa"/>
            <w:vAlign w:val="center"/>
          </w:tcPr>
          <w:p w:rsidR="008813B8" w:rsidRPr="00D04991" w:rsidRDefault="00AA2D10" w:rsidP="00263FA2">
            <w:pPr>
              <w:spacing w:line="276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From general promotion to targeted investment acquisition and measurable investor conversion.</w:t>
            </w:r>
          </w:p>
        </w:tc>
      </w:tr>
      <w:tr w:rsidR="008813B8" w:rsidRPr="00D04991" w:rsidTr="00D04991">
        <w:trPr>
          <w:jc w:val="center"/>
        </w:trPr>
        <w:tc>
          <w:tcPr>
            <w:tcW w:w="4680" w:type="dxa"/>
            <w:vAlign w:val="center"/>
          </w:tcPr>
          <w:p w:rsidR="008813B8" w:rsidRPr="00D04991" w:rsidRDefault="00AA2D10" w:rsidP="00263FA2">
            <w:pPr>
              <w:spacing w:line="276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Core values</w:t>
            </w:r>
          </w:p>
        </w:tc>
        <w:tc>
          <w:tcPr>
            <w:tcW w:w="5256" w:type="dxa"/>
            <w:vAlign w:val="center"/>
          </w:tcPr>
          <w:p w:rsidR="008813B8" w:rsidRPr="00D04991" w:rsidRDefault="00AA2D10" w:rsidP="00263FA2">
            <w:pPr>
              <w:spacing w:line="276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Professionalism; transparency; responsiveness; partnership; integrity; innovation; results orientation.</w:t>
            </w:r>
          </w:p>
        </w:tc>
      </w:tr>
    </w:tbl>
    <w:p w:rsidR="00D04991" w:rsidRDefault="00D04991">
      <w:pPr>
        <w:pStyle w:val="Heading2"/>
        <w:rPr>
          <w:sz w:val="28"/>
          <w:szCs w:val="28"/>
        </w:rPr>
      </w:pPr>
    </w:p>
    <w:p w:rsidR="008813B8" w:rsidRPr="00D04991" w:rsidRDefault="00AA2D10">
      <w:pPr>
        <w:pStyle w:val="Heading2"/>
        <w:rPr>
          <w:sz w:val="28"/>
          <w:szCs w:val="28"/>
        </w:rPr>
      </w:pPr>
      <w:r w:rsidRPr="00D04991">
        <w:rPr>
          <w:sz w:val="28"/>
          <w:szCs w:val="28"/>
        </w:rPr>
        <w:t>Strategic Pillars</w:t>
      </w:r>
    </w:p>
    <w:p w:rsidR="008813B8" w:rsidRPr="00D04991" w:rsidRDefault="00AA2D10">
      <w:pPr>
        <w:pStyle w:val="ListBullet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Investment Promotion and Attraction</w:t>
      </w:r>
    </w:p>
    <w:p w:rsidR="008813B8" w:rsidRPr="00D04991" w:rsidRDefault="00AA2D10">
      <w:pPr>
        <w:pStyle w:val="ListBullet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Investment Facilitation and One Stop Shop</w:t>
      </w:r>
    </w:p>
    <w:p w:rsidR="008813B8" w:rsidRPr="00D04991" w:rsidRDefault="00AA2D10">
      <w:pPr>
        <w:pStyle w:val="ListBullet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Investor Retention and Aftercare</w:t>
      </w:r>
    </w:p>
    <w:p w:rsidR="008813B8" w:rsidRPr="00D04991" w:rsidRDefault="00AA2D10">
      <w:pPr>
        <w:pStyle w:val="ListBullet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Project Development and PPP Mobilisation</w:t>
      </w:r>
    </w:p>
    <w:p w:rsidR="008813B8" w:rsidRPr="00D04991" w:rsidRDefault="00AA2D10">
      <w:pPr>
        <w:pStyle w:val="ListBullet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Investment Intelligence, Research and Marketing</w:t>
      </w:r>
    </w:p>
    <w:p w:rsidR="008813B8" w:rsidRPr="00D04991" w:rsidRDefault="00AA2D10">
      <w:pPr>
        <w:pStyle w:val="ListBullet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Institutional Capacity and Partnerships</w:t>
      </w:r>
    </w:p>
    <w:p w:rsidR="00D04991" w:rsidRDefault="00D04991">
      <w:pPr>
        <w:pStyle w:val="Heading1"/>
      </w:pPr>
    </w:p>
    <w:p w:rsidR="00D04991" w:rsidRDefault="00D04991" w:rsidP="00D04991">
      <w:pPr>
        <w:pStyle w:val="Heading1"/>
        <w:jc w:val="center"/>
      </w:pPr>
      <w:r>
        <w:t>CHAPTER THREE</w:t>
      </w:r>
    </w:p>
    <w:p w:rsidR="008813B8" w:rsidRPr="00D04991" w:rsidRDefault="00AA2D10" w:rsidP="00D04991">
      <w:pPr>
        <w:pStyle w:val="Heading1"/>
        <w:jc w:val="center"/>
      </w:pPr>
      <w:r w:rsidRPr="00D04991">
        <w:t>DELTA STATE INVESTMENT OPPORTUNITY AND PRIORITY SECTORS</w:t>
      </w:r>
    </w:p>
    <w:p w:rsidR="00D04991" w:rsidRDefault="00D04991">
      <w:pPr>
        <w:rPr>
          <w:sz w:val="28"/>
          <w:szCs w:val="28"/>
        </w:rPr>
      </w:pPr>
    </w:p>
    <w:p w:rsidR="008813B8" w:rsidRDefault="00263FA2">
      <w:pPr>
        <w:rPr>
          <w:sz w:val="28"/>
          <w:szCs w:val="28"/>
        </w:rPr>
      </w:pPr>
      <w:r>
        <w:rPr>
          <w:sz w:val="28"/>
          <w:szCs w:val="28"/>
        </w:rPr>
        <w:t>Delta State combines Natural Resources, Agricultural Land, Energy Assets, Industrial Activity, Ports and Waterways, Human Capital and A</w:t>
      </w:r>
      <w:r w:rsidR="00AA2D10" w:rsidRPr="00D04991">
        <w:rPr>
          <w:sz w:val="28"/>
          <w:szCs w:val="28"/>
        </w:rPr>
        <w:t>ccess to major Nigerian markets. The Plan therefore focuses investment promotion on sectors where State-level facilitation can create significant additional value.</w:t>
      </w:r>
    </w:p>
    <w:p w:rsidR="00D04991" w:rsidRPr="00D04991" w:rsidRDefault="00D04991">
      <w:pPr>
        <w:rPr>
          <w:rFonts w:hint="eastAsia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8813B8" w:rsidRPr="00D04991">
        <w:trPr>
          <w:jc w:val="center"/>
        </w:trPr>
        <w:tc>
          <w:tcPr>
            <w:tcW w:w="4968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Priority Sector</w:t>
            </w:r>
          </w:p>
        </w:tc>
        <w:tc>
          <w:tcPr>
            <w:tcW w:w="4968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Investment Proposition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Oil &amp; Gas / Energy</w:t>
            </w:r>
          </w:p>
        </w:tc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Gas processing, downstream services, petrochemicals, energy infrastructure, gas-to-power and related services.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Agriculture / Agro-processing</w:t>
            </w:r>
          </w:p>
        </w:tc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Industrial-scale farming, processing, storage, logistics, packaging and export-oriented value chains.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Manufacturing</w:t>
            </w:r>
          </w:p>
        </w:tc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Food and beverage, glass, building materials, steel, chemicals and other value-added industries.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Marine / Ports / Logistics</w:t>
            </w:r>
          </w:p>
        </w:tc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Port-linked logistics, inland waterways, warehousing, tanker parks and marine services.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Digital Economy</w:t>
            </w:r>
          </w:p>
        </w:tc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Digital infrastructure, technology services, innovation and business-process opportunities.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Power / Renewables</w:t>
            </w:r>
          </w:p>
        </w:tc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Gas-based power, distributed energy, renewable projects and industrial energy solutions.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Special Economic Zones</w:t>
            </w:r>
          </w:p>
        </w:tc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Kwale/Koko and other structured industrial platforms for export-oriented and value-added investment.</w:t>
            </w:r>
          </w:p>
        </w:tc>
      </w:tr>
    </w:tbl>
    <w:p w:rsidR="00D04991" w:rsidRDefault="00D04991">
      <w:pPr>
        <w:pStyle w:val="Heading1"/>
      </w:pPr>
    </w:p>
    <w:p w:rsidR="00D04991" w:rsidRDefault="00D04991" w:rsidP="00D04991">
      <w:pPr>
        <w:pStyle w:val="Heading1"/>
        <w:jc w:val="center"/>
      </w:pPr>
      <w:r>
        <w:t>CHAPTER FOUR</w:t>
      </w:r>
    </w:p>
    <w:p w:rsidR="008813B8" w:rsidRDefault="00AA2D10" w:rsidP="00D04991">
      <w:pPr>
        <w:pStyle w:val="Heading1"/>
        <w:jc w:val="center"/>
      </w:pPr>
      <w:r w:rsidRPr="00D04991">
        <w:t>STRATEGIC OBJECTIVES AND PROGRAMMES</w:t>
      </w:r>
    </w:p>
    <w:p w:rsidR="00D04991" w:rsidRDefault="00D04991" w:rsidP="00D04991"/>
    <w:p w:rsidR="00D04991" w:rsidRPr="00D04991" w:rsidRDefault="00D04991" w:rsidP="00D04991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8813B8" w:rsidRPr="00D04991">
        <w:trPr>
          <w:jc w:val="center"/>
        </w:trPr>
        <w:tc>
          <w:tcPr>
            <w:tcW w:w="4968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Strategic Objective</w:t>
            </w:r>
          </w:p>
        </w:tc>
        <w:tc>
          <w:tcPr>
            <w:tcW w:w="4968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Key Programmes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1. Increase investment attraction and conversion</w:t>
            </w:r>
          </w:p>
        </w:tc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Target priority investors; develop investment propositions; conduct roadshows; manage investor pipeline and conversion.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2. Strengthen investment facilitation</w:t>
            </w:r>
          </w:p>
        </w:tc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Operate an effective One Stop Shop; coordinate MDAs; track applications/issues; establish escalation mechanisms.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3. Improve investor retention and aftercare</w:t>
            </w:r>
          </w:p>
        </w:tc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Conduct structured investor visits; resolve issues; support expansions; capture reinvestment opportunities.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4. Develop bankable investment projects</w:t>
            </w:r>
          </w:p>
        </w:tc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Undertake pre-feasibility/feasibility work; prepare project information memoranda; establish project governance.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5. Mobilise PPP investment</w:t>
            </w:r>
          </w:p>
        </w:tc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Identify suitable PPP projects; undertake transaction preparation; engage private investors and financiers.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6. Strengthen investment intelligence</w:t>
            </w:r>
          </w:p>
        </w:tc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Maintain CRM, sector intelligence, investor database, project inventory and performance dashboards.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7. Strengthen institutional capacity</w:t>
            </w:r>
          </w:p>
        </w:tc>
        <w:tc>
          <w:tcPr>
            <w:tcW w:w="496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Develop staff capabilities, systems, partnerships, communications and evidence-management processes.</w:t>
            </w:r>
          </w:p>
        </w:tc>
      </w:tr>
    </w:tbl>
    <w:p w:rsidR="00D04991" w:rsidRDefault="00D04991">
      <w:pPr>
        <w:pStyle w:val="Heading1"/>
      </w:pPr>
    </w:p>
    <w:p w:rsidR="00D04991" w:rsidRDefault="00D04991" w:rsidP="00D04991"/>
    <w:p w:rsidR="00D04991" w:rsidRDefault="00D04991" w:rsidP="00D04991"/>
    <w:p w:rsidR="00D04991" w:rsidRPr="00D04991" w:rsidRDefault="00D04991" w:rsidP="00D04991"/>
    <w:p w:rsidR="00D04991" w:rsidRDefault="00D04991" w:rsidP="00D04991">
      <w:pPr>
        <w:pStyle w:val="Heading1"/>
        <w:jc w:val="center"/>
      </w:pPr>
    </w:p>
    <w:p w:rsidR="00D04991" w:rsidRDefault="00D04991" w:rsidP="00D04991">
      <w:pPr>
        <w:pStyle w:val="Heading1"/>
        <w:jc w:val="center"/>
      </w:pPr>
      <w:r>
        <w:t>CHAPTER FIVE</w:t>
      </w:r>
    </w:p>
    <w:p w:rsidR="008813B8" w:rsidRDefault="00AA2D10" w:rsidP="00D04991">
      <w:pPr>
        <w:pStyle w:val="Heading1"/>
        <w:jc w:val="center"/>
      </w:pPr>
      <w:r w:rsidRPr="00D04991">
        <w:t>FLAGSHIP INVESTMENT PROJECTS</w:t>
      </w:r>
    </w:p>
    <w:p w:rsidR="00D04991" w:rsidRPr="00D04991" w:rsidRDefault="00D04991" w:rsidP="00D04991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8813B8" w:rsidRPr="00D04991">
        <w:trPr>
          <w:jc w:val="center"/>
        </w:trPr>
        <w:tc>
          <w:tcPr>
            <w:tcW w:w="2484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Flagship Project</w:t>
            </w:r>
          </w:p>
        </w:tc>
        <w:tc>
          <w:tcPr>
            <w:tcW w:w="2484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Sector</w:t>
            </w:r>
          </w:p>
        </w:tc>
        <w:tc>
          <w:tcPr>
            <w:tcW w:w="2484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Strategic Purpose</w:t>
            </w:r>
          </w:p>
        </w:tc>
        <w:tc>
          <w:tcPr>
            <w:tcW w:w="2484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Indicative Employment Potential*</w:t>
            </w:r>
          </w:p>
        </w:tc>
      </w:tr>
      <w:tr w:rsidR="008813B8" w:rsidRPr="00D04991">
        <w:trPr>
          <w:jc w:val="center"/>
        </w:trPr>
        <w:tc>
          <w:tcPr>
            <w:tcW w:w="24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Aboh–Ogwashi-Uku Agro-Processing &amp; Industrial Platform</w:t>
            </w:r>
          </w:p>
        </w:tc>
        <w:tc>
          <w:tcPr>
            <w:tcW w:w="24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Agro-processing</w:t>
            </w:r>
          </w:p>
        </w:tc>
        <w:tc>
          <w:tcPr>
            <w:tcW w:w="24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 xml:space="preserve">Value addition, aggregation, processing, </w:t>
            </w:r>
            <w:proofErr w:type="gramStart"/>
            <w:r w:rsidRPr="00D04991">
              <w:rPr>
                <w:sz w:val="28"/>
                <w:szCs w:val="28"/>
              </w:rPr>
              <w:t>storage</w:t>
            </w:r>
            <w:proofErr w:type="gramEnd"/>
            <w:r w:rsidRPr="00D04991">
              <w:rPr>
                <w:sz w:val="28"/>
                <w:szCs w:val="28"/>
              </w:rPr>
              <w:t xml:space="preserve"> and market access.</w:t>
            </w:r>
          </w:p>
        </w:tc>
        <w:tc>
          <w:tcPr>
            <w:tcW w:w="24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1,500–2,500 direct/indirect</w:t>
            </w:r>
          </w:p>
        </w:tc>
      </w:tr>
      <w:tr w:rsidR="008813B8" w:rsidRPr="00D04991">
        <w:trPr>
          <w:jc w:val="center"/>
        </w:trPr>
        <w:tc>
          <w:tcPr>
            <w:tcW w:w="24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Kwale/Koko Special Economic Zone Development</w:t>
            </w:r>
          </w:p>
        </w:tc>
        <w:tc>
          <w:tcPr>
            <w:tcW w:w="24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Manufacturing / Oil &amp; Gas / Logistics</w:t>
            </w:r>
          </w:p>
        </w:tc>
        <w:tc>
          <w:tcPr>
            <w:tcW w:w="24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Industrial clustering, export-oriented manufacturing and port-linked activity.</w:t>
            </w:r>
          </w:p>
        </w:tc>
        <w:tc>
          <w:tcPr>
            <w:tcW w:w="24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2,000–3,500 direct/indirect</w:t>
            </w:r>
          </w:p>
        </w:tc>
      </w:tr>
      <w:tr w:rsidR="008813B8" w:rsidRPr="00D04991">
        <w:trPr>
          <w:jc w:val="center"/>
        </w:trPr>
        <w:tc>
          <w:tcPr>
            <w:tcW w:w="24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Gas-to-Power / Industrial Energy Platform</w:t>
            </w:r>
          </w:p>
        </w:tc>
        <w:tc>
          <w:tcPr>
            <w:tcW w:w="24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Oil &amp; Gas / Energy</w:t>
            </w:r>
          </w:p>
        </w:tc>
        <w:tc>
          <w:tcPr>
            <w:tcW w:w="24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Reliable energy for industries and value-added gas utilisation.</w:t>
            </w:r>
          </w:p>
        </w:tc>
        <w:tc>
          <w:tcPr>
            <w:tcW w:w="24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1,000–2,000 direct/indirect</w:t>
            </w:r>
          </w:p>
        </w:tc>
      </w:tr>
      <w:tr w:rsidR="008813B8" w:rsidRPr="00D04991">
        <w:trPr>
          <w:jc w:val="center"/>
        </w:trPr>
        <w:tc>
          <w:tcPr>
            <w:tcW w:w="24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Delta Industrial Manufacturing Cluster</w:t>
            </w:r>
          </w:p>
        </w:tc>
        <w:tc>
          <w:tcPr>
            <w:tcW w:w="24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Manufacturing</w:t>
            </w:r>
          </w:p>
        </w:tc>
        <w:tc>
          <w:tcPr>
            <w:tcW w:w="24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Expand value-added manufacturing and supplier ecosystems.</w:t>
            </w:r>
          </w:p>
        </w:tc>
        <w:tc>
          <w:tcPr>
            <w:tcW w:w="24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1,500–2,500 direct/indirect</w:t>
            </w:r>
          </w:p>
        </w:tc>
      </w:tr>
      <w:tr w:rsidR="008813B8" w:rsidRPr="00D04991">
        <w:trPr>
          <w:jc w:val="center"/>
        </w:trPr>
        <w:tc>
          <w:tcPr>
            <w:tcW w:w="24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Marine &amp; Logistics Investment Platform</w:t>
            </w:r>
          </w:p>
        </w:tc>
        <w:tc>
          <w:tcPr>
            <w:tcW w:w="24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Marine / Logistics</w:t>
            </w:r>
          </w:p>
        </w:tc>
        <w:tc>
          <w:tcPr>
            <w:tcW w:w="24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Leverage waterways, ports, terminals and logistics corridors.</w:t>
            </w:r>
          </w:p>
        </w:tc>
        <w:tc>
          <w:tcPr>
            <w:tcW w:w="24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1,000–2,000 direct/indirect</w:t>
            </w:r>
          </w:p>
        </w:tc>
      </w:tr>
    </w:tbl>
    <w:p w:rsidR="00D04991" w:rsidRDefault="00D04991">
      <w:pPr>
        <w:rPr>
          <w:sz w:val="28"/>
          <w:szCs w:val="28"/>
        </w:rPr>
      </w:pPr>
    </w:p>
    <w:p w:rsidR="00D04991" w:rsidRPr="00D04991" w:rsidRDefault="00AA2D10" w:rsidP="00D04991">
      <w:pPr>
        <w:rPr>
          <w:sz w:val="28"/>
          <w:szCs w:val="28"/>
        </w:rPr>
      </w:pPr>
      <w:r w:rsidRPr="00D04991">
        <w:rPr>
          <w:sz w:val="28"/>
          <w:szCs w:val="28"/>
        </w:rPr>
        <w:t>Employment figures are planning estimates for corporate-plan target setting, not confirmed project employment counts. They</w:t>
      </w:r>
      <w:r w:rsidR="00055721">
        <w:rPr>
          <w:sz w:val="28"/>
          <w:szCs w:val="28"/>
        </w:rPr>
        <w:t xml:space="preserve"> will</w:t>
      </w:r>
      <w:r w:rsidRPr="00D04991">
        <w:rPr>
          <w:sz w:val="28"/>
          <w:szCs w:val="28"/>
        </w:rPr>
        <w:t xml:space="preserve"> be refined through feasibility studies and investor-specific business plans.</w:t>
      </w:r>
    </w:p>
    <w:p w:rsidR="00D04991" w:rsidRDefault="00D04991" w:rsidP="00D04991">
      <w:pPr>
        <w:pStyle w:val="Heading1"/>
        <w:jc w:val="center"/>
      </w:pPr>
      <w:r>
        <w:lastRenderedPageBreak/>
        <w:t>CHAPTER SIX</w:t>
      </w:r>
    </w:p>
    <w:p w:rsidR="008813B8" w:rsidRPr="00D04991" w:rsidRDefault="00AA2D10" w:rsidP="00D04991">
      <w:pPr>
        <w:pStyle w:val="Heading1"/>
        <w:jc w:val="center"/>
      </w:pPr>
      <w:r w:rsidRPr="00D04991">
        <w:t>THREE PRIORITY INVESTMENT PROJECTS AND PPP FRAMEWORK</w:t>
      </w:r>
    </w:p>
    <w:tbl>
      <w:tblPr>
        <w:tblStyle w:val="TableGrid"/>
        <w:tblW w:w="10476" w:type="dxa"/>
        <w:jc w:val="center"/>
        <w:tblLayout w:type="fixed"/>
        <w:tblLook w:val="04A0" w:firstRow="1" w:lastRow="0" w:firstColumn="1" w:lastColumn="0" w:noHBand="0" w:noVBand="1"/>
      </w:tblPr>
      <w:tblGrid>
        <w:gridCol w:w="1725"/>
        <w:gridCol w:w="1353"/>
        <w:gridCol w:w="2808"/>
        <w:gridCol w:w="1455"/>
        <w:gridCol w:w="1579"/>
        <w:gridCol w:w="1556"/>
      </w:tblGrid>
      <w:tr w:rsidR="008813B8" w:rsidRPr="00D04991" w:rsidTr="00892CED">
        <w:trPr>
          <w:jc w:val="center"/>
        </w:trPr>
        <w:tc>
          <w:tcPr>
            <w:tcW w:w="1725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Project</w:t>
            </w:r>
          </w:p>
        </w:tc>
        <w:tc>
          <w:tcPr>
            <w:tcW w:w="1353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Sector</w:t>
            </w:r>
          </w:p>
        </w:tc>
        <w:tc>
          <w:tcPr>
            <w:tcW w:w="2808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Concept</w:t>
            </w:r>
          </w:p>
        </w:tc>
        <w:tc>
          <w:tcPr>
            <w:tcW w:w="1455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Indicative Budget</w:t>
            </w:r>
          </w:p>
        </w:tc>
        <w:tc>
          <w:tcPr>
            <w:tcW w:w="1579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PPP Model</w:t>
            </w:r>
          </w:p>
        </w:tc>
        <w:tc>
          <w:tcPr>
            <w:tcW w:w="1556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Planning Job Target</w:t>
            </w:r>
          </w:p>
        </w:tc>
      </w:tr>
      <w:tr w:rsidR="008813B8" w:rsidRPr="00D04991" w:rsidTr="00892CED">
        <w:trPr>
          <w:jc w:val="center"/>
        </w:trPr>
        <w:tc>
          <w:tcPr>
            <w:tcW w:w="1725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proofErr w:type="spellStart"/>
            <w:r w:rsidRPr="00D04991">
              <w:rPr>
                <w:sz w:val="28"/>
                <w:szCs w:val="28"/>
              </w:rPr>
              <w:t>Aboh</w:t>
            </w:r>
            <w:proofErr w:type="spellEnd"/>
            <w:r w:rsidRPr="00D04991">
              <w:rPr>
                <w:sz w:val="28"/>
                <w:szCs w:val="28"/>
              </w:rPr>
              <w:t>–Ogwashi-Uku Agro-Processing Platform</w:t>
            </w:r>
          </w:p>
        </w:tc>
        <w:tc>
          <w:tcPr>
            <w:tcW w:w="1353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Agro</w:t>
            </w:r>
          </w:p>
        </w:tc>
        <w:tc>
          <w:tcPr>
            <w:tcW w:w="280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Processing/</w:t>
            </w:r>
            <w:r w:rsidR="00055721">
              <w:rPr>
                <w:sz w:val="28"/>
                <w:szCs w:val="28"/>
              </w:rPr>
              <w:t xml:space="preserve"> </w:t>
            </w:r>
            <w:r w:rsidRPr="00D04991">
              <w:rPr>
                <w:sz w:val="28"/>
                <w:szCs w:val="28"/>
              </w:rPr>
              <w:t>aggregation hub for cassava, rice, oil palm and other suitable crops; storage, packaging and logistics.</w:t>
            </w:r>
          </w:p>
        </w:tc>
        <w:tc>
          <w:tcPr>
            <w:tcW w:w="1455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Indicative ₦35–50bn</w:t>
            </w:r>
          </w:p>
        </w:tc>
        <w:tc>
          <w:tcPr>
            <w:tcW w:w="1579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Build-Operate-Transfer / concession / joint venture</w:t>
            </w:r>
          </w:p>
        </w:tc>
        <w:tc>
          <w:tcPr>
            <w:tcW w:w="1556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1,000–1,500 direct; wider value-chain jobs to be assessed</w:t>
            </w:r>
          </w:p>
        </w:tc>
      </w:tr>
      <w:tr w:rsidR="008813B8" w:rsidRPr="00D04991" w:rsidTr="00892CED">
        <w:trPr>
          <w:jc w:val="center"/>
        </w:trPr>
        <w:tc>
          <w:tcPr>
            <w:tcW w:w="1725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Delta Gas &amp; Industrial Energy Platform</w:t>
            </w:r>
          </w:p>
        </w:tc>
        <w:tc>
          <w:tcPr>
            <w:tcW w:w="1353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Oil &amp; Gas / Energy</w:t>
            </w:r>
          </w:p>
        </w:tc>
        <w:tc>
          <w:tcPr>
            <w:tcW w:w="280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Gas utilisation, industrial power and associated infrastructure serving industrial clusters.</w:t>
            </w:r>
          </w:p>
        </w:tc>
        <w:tc>
          <w:tcPr>
            <w:tcW w:w="1455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Indicative ₦80–120bn</w:t>
            </w:r>
          </w:p>
        </w:tc>
        <w:tc>
          <w:tcPr>
            <w:tcW w:w="1579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IPP/PPP concession or BOO/BOOT, subject to regulation</w:t>
            </w:r>
          </w:p>
        </w:tc>
        <w:tc>
          <w:tcPr>
            <w:tcW w:w="1556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700–1,200 direct; additional industrial jobs enabled</w:t>
            </w:r>
          </w:p>
        </w:tc>
      </w:tr>
      <w:tr w:rsidR="008813B8" w:rsidRPr="00D04991" w:rsidTr="00892CED">
        <w:trPr>
          <w:jc w:val="center"/>
        </w:trPr>
        <w:tc>
          <w:tcPr>
            <w:tcW w:w="1725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Delta Manufacturing &amp; Industrial Cluster</w:t>
            </w:r>
          </w:p>
        </w:tc>
        <w:tc>
          <w:tcPr>
            <w:tcW w:w="1353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Manufacturing</w:t>
            </w:r>
          </w:p>
        </w:tc>
        <w:tc>
          <w:tcPr>
            <w:tcW w:w="280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Cluster for building materials, food processing, light manufacturing and supplier industries.</w:t>
            </w:r>
          </w:p>
        </w:tc>
        <w:tc>
          <w:tcPr>
            <w:tcW w:w="1455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Indicative ₦50–75bn</w:t>
            </w:r>
          </w:p>
        </w:tc>
        <w:tc>
          <w:tcPr>
            <w:tcW w:w="1579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Developer-led PPP / concession / JV</w:t>
            </w:r>
          </w:p>
        </w:tc>
        <w:tc>
          <w:tcPr>
            <w:tcW w:w="1556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1,000–1,800 direct</w:t>
            </w:r>
          </w:p>
        </w:tc>
      </w:tr>
    </w:tbl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The budgets and employment figures are indicative planning parameters for corporate-plan purposes. Final investment values, risk allocation, tariffs, returns, financing structures and employment projections should be determined through feasibility studies, market sounding and transaction advisory work.</w:t>
      </w:r>
    </w:p>
    <w:p w:rsidR="008813B8" w:rsidRPr="00D04991" w:rsidRDefault="00AA2D10">
      <w:pPr>
        <w:pStyle w:val="Heading2"/>
        <w:rPr>
          <w:sz w:val="28"/>
          <w:szCs w:val="28"/>
        </w:rPr>
      </w:pPr>
      <w:r w:rsidRPr="00D04991">
        <w:rPr>
          <w:sz w:val="28"/>
          <w:szCs w:val="28"/>
        </w:rPr>
        <w:t>PPP Development Stages</w:t>
      </w:r>
    </w:p>
    <w:p w:rsidR="008813B8" w:rsidRPr="00D04991" w:rsidRDefault="00AA2D10">
      <w:pPr>
        <w:pStyle w:val="ListNumber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Project identification and screening</w:t>
      </w:r>
    </w:p>
    <w:p w:rsidR="008813B8" w:rsidRPr="00D04991" w:rsidRDefault="00AA2D10">
      <w:pPr>
        <w:pStyle w:val="ListNumber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Pre-feasibility and value-for-money assessment</w:t>
      </w:r>
    </w:p>
    <w:p w:rsidR="008813B8" w:rsidRPr="00D04991" w:rsidRDefault="00AA2D10">
      <w:pPr>
        <w:pStyle w:val="ListNumber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Market sounding and investor engagement</w:t>
      </w:r>
    </w:p>
    <w:p w:rsidR="008813B8" w:rsidRPr="00D04991" w:rsidRDefault="00AA2D10">
      <w:pPr>
        <w:pStyle w:val="ListNumber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Full feasibility / business case</w:t>
      </w:r>
    </w:p>
    <w:p w:rsidR="008813B8" w:rsidRPr="00D04991" w:rsidRDefault="00AA2D10">
      <w:pPr>
        <w:pStyle w:val="ListNumber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Transaction structuring and procurement</w:t>
      </w:r>
    </w:p>
    <w:p w:rsidR="008813B8" w:rsidRPr="00D04991" w:rsidRDefault="00AA2D10">
      <w:pPr>
        <w:pStyle w:val="ListNumber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Contract close / financial close</w:t>
      </w:r>
    </w:p>
    <w:p w:rsidR="008813B8" w:rsidRPr="00D04991" w:rsidRDefault="00AA2D10">
      <w:pPr>
        <w:pStyle w:val="ListNumber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Construction and commissioning</w:t>
      </w:r>
    </w:p>
    <w:p w:rsidR="008813B8" w:rsidRPr="00D04991" w:rsidRDefault="00AA2D10">
      <w:pPr>
        <w:pStyle w:val="ListNumber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Operations, monitoring and performance review</w:t>
      </w:r>
    </w:p>
    <w:p w:rsidR="00892CED" w:rsidRDefault="00892CED" w:rsidP="00892CED">
      <w:pPr>
        <w:pStyle w:val="Heading1"/>
        <w:jc w:val="center"/>
      </w:pPr>
    </w:p>
    <w:p w:rsidR="00892CED" w:rsidRDefault="00892CED" w:rsidP="00892CED">
      <w:pPr>
        <w:pStyle w:val="Heading1"/>
        <w:jc w:val="center"/>
      </w:pPr>
      <w:r>
        <w:t>CHAPTER SEVEN</w:t>
      </w:r>
    </w:p>
    <w:p w:rsidR="008813B8" w:rsidRDefault="00AA2D10" w:rsidP="00892CED">
      <w:pPr>
        <w:pStyle w:val="Heading1"/>
        <w:jc w:val="center"/>
      </w:pPr>
      <w:r w:rsidRPr="00D04991">
        <w:t>IMPLEMENTATION ROADMAP 2025–2028</w:t>
      </w:r>
    </w:p>
    <w:p w:rsidR="00892CED" w:rsidRPr="00892CED" w:rsidRDefault="00892CED" w:rsidP="00892CED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62"/>
        <w:gridCol w:w="3762"/>
        <w:gridCol w:w="3312"/>
      </w:tblGrid>
      <w:tr w:rsidR="008813B8" w:rsidRPr="00D04991" w:rsidTr="00892CED">
        <w:trPr>
          <w:jc w:val="center"/>
        </w:trPr>
        <w:tc>
          <w:tcPr>
            <w:tcW w:w="2862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Year</w:t>
            </w:r>
          </w:p>
        </w:tc>
        <w:tc>
          <w:tcPr>
            <w:tcW w:w="3762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Priority Actions</w:t>
            </w:r>
          </w:p>
        </w:tc>
        <w:tc>
          <w:tcPr>
            <w:tcW w:w="3312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Expected Milestones</w:t>
            </w:r>
          </w:p>
        </w:tc>
      </w:tr>
      <w:tr w:rsidR="008813B8" w:rsidRPr="00D04991" w:rsidTr="00055721">
        <w:trPr>
          <w:trHeight w:val="1907"/>
          <w:jc w:val="center"/>
        </w:trPr>
        <w:tc>
          <w:tcPr>
            <w:tcW w:w="2862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2025</w:t>
            </w:r>
          </w:p>
        </w:tc>
        <w:tc>
          <w:tcPr>
            <w:tcW w:w="3762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Institutional strengthening; baseline; project inventory; investor database; sector propositions.</w:t>
            </w:r>
          </w:p>
        </w:tc>
        <w:tc>
          <w:tcPr>
            <w:tcW w:w="3312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Systems established; priority pipeline defined; initial investor outreach.</w:t>
            </w:r>
          </w:p>
        </w:tc>
      </w:tr>
      <w:tr w:rsidR="008813B8" w:rsidRPr="00D04991" w:rsidTr="00055721">
        <w:trPr>
          <w:trHeight w:val="1700"/>
          <w:jc w:val="center"/>
        </w:trPr>
        <w:tc>
          <w:tcPr>
            <w:tcW w:w="2862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2026</w:t>
            </w:r>
          </w:p>
        </w:tc>
        <w:tc>
          <w:tcPr>
            <w:tcW w:w="3762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Scale facilitation/aftercare; project preparation; PPP development; digital investor services.</w:t>
            </w:r>
          </w:p>
        </w:tc>
        <w:tc>
          <w:tcPr>
            <w:tcW w:w="3312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Investment-ready project dossiers; stronger investor tracking; structured aftercare.</w:t>
            </w:r>
          </w:p>
        </w:tc>
      </w:tr>
      <w:tr w:rsidR="008813B8" w:rsidRPr="00D04991" w:rsidTr="00055721">
        <w:trPr>
          <w:trHeight w:val="2150"/>
          <w:jc w:val="center"/>
        </w:trPr>
        <w:tc>
          <w:tcPr>
            <w:tcW w:w="2862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2027</w:t>
            </w:r>
          </w:p>
        </w:tc>
        <w:tc>
          <w:tcPr>
            <w:tcW w:w="3762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Investor acquisition campaigns; transaction preparation; cluster development; international outreach.</w:t>
            </w:r>
          </w:p>
        </w:tc>
        <w:tc>
          <w:tcPr>
            <w:tcW w:w="3312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Qualified investor leads; site visits; project negotiations; PPP transactions advanced.</w:t>
            </w:r>
          </w:p>
        </w:tc>
      </w:tr>
      <w:tr w:rsidR="008813B8" w:rsidRPr="00D04991" w:rsidTr="00055721">
        <w:trPr>
          <w:trHeight w:val="1610"/>
          <w:jc w:val="center"/>
        </w:trPr>
        <w:tc>
          <w:tcPr>
            <w:tcW w:w="2862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2028</w:t>
            </w:r>
          </w:p>
        </w:tc>
        <w:tc>
          <w:tcPr>
            <w:tcW w:w="3762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Consolidation, investment conversion, reinvestment and evaluation.</w:t>
            </w:r>
          </w:p>
        </w:tc>
        <w:tc>
          <w:tcPr>
            <w:tcW w:w="3312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Investment commitments converted; impact review; next corporate plan prepared.</w:t>
            </w:r>
          </w:p>
        </w:tc>
      </w:tr>
    </w:tbl>
    <w:p w:rsidR="00892CED" w:rsidRDefault="00892CED">
      <w:pPr>
        <w:pStyle w:val="Heading1"/>
      </w:pPr>
    </w:p>
    <w:p w:rsidR="00892CED" w:rsidRDefault="00892CED">
      <w:pPr>
        <w:pStyle w:val="Heading1"/>
      </w:pPr>
    </w:p>
    <w:p w:rsidR="00892CED" w:rsidRDefault="00892CED" w:rsidP="00892CED"/>
    <w:p w:rsidR="00892CED" w:rsidRPr="00892CED" w:rsidRDefault="00892CED" w:rsidP="00892CED"/>
    <w:p w:rsidR="00892CED" w:rsidRDefault="00892CED" w:rsidP="00892CED">
      <w:pPr>
        <w:pStyle w:val="Heading1"/>
        <w:jc w:val="center"/>
      </w:pPr>
    </w:p>
    <w:p w:rsidR="00892CED" w:rsidRDefault="00892CED" w:rsidP="00892CED">
      <w:pPr>
        <w:pStyle w:val="Heading1"/>
        <w:jc w:val="center"/>
      </w:pPr>
      <w:r>
        <w:t>CHAPTER EIGHT</w:t>
      </w:r>
    </w:p>
    <w:p w:rsidR="008813B8" w:rsidRDefault="00AA2D10" w:rsidP="00892CED">
      <w:pPr>
        <w:pStyle w:val="Heading1"/>
        <w:jc w:val="center"/>
      </w:pPr>
      <w:r w:rsidRPr="00D04991">
        <w:t>RESULTS FRAMEWORK — INPUTS, OUTPUTS, OUTCOMES AND IMPACT</w:t>
      </w:r>
    </w:p>
    <w:p w:rsidR="00892CED" w:rsidRPr="00892CED" w:rsidRDefault="00892CED" w:rsidP="00892CED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40"/>
        <w:gridCol w:w="5796"/>
      </w:tblGrid>
      <w:tr w:rsidR="008813B8" w:rsidRPr="00D04991" w:rsidTr="00892CED">
        <w:trPr>
          <w:jc w:val="center"/>
        </w:trPr>
        <w:tc>
          <w:tcPr>
            <w:tcW w:w="4140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Level</w:t>
            </w:r>
          </w:p>
        </w:tc>
        <w:tc>
          <w:tcPr>
            <w:tcW w:w="5796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DIDA Results Framework</w:t>
            </w:r>
          </w:p>
        </w:tc>
      </w:tr>
      <w:tr w:rsidR="008813B8" w:rsidRPr="00D04991" w:rsidTr="00892CED">
        <w:trPr>
          <w:trHeight w:val="1727"/>
          <w:jc w:val="center"/>
        </w:trPr>
        <w:tc>
          <w:tcPr>
            <w:tcW w:w="414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Inputs</w:t>
            </w:r>
          </w:p>
        </w:tc>
        <w:tc>
          <w:tcPr>
            <w:tcW w:w="5796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Budget; staff; digital systems; investor intelligence; project-development resources; partnerships; technical advisers; government support.</w:t>
            </w:r>
          </w:p>
        </w:tc>
      </w:tr>
      <w:tr w:rsidR="008813B8" w:rsidRPr="00D04991" w:rsidTr="00892CED">
        <w:trPr>
          <w:trHeight w:val="1610"/>
          <w:jc w:val="center"/>
        </w:trPr>
        <w:tc>
          <w:tcPr>
            <w:tcW w:w="414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Activities</w:t>
            </w:r>
          </w:p>
        </w:tc>
        <w:tc>
          <w:tcPr>
            <w:tcW w:w="5796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Investor research; promotion; facilitation; site visits; aftercare; project preparation; PPP structuring; policy advocacy; stakeholder coordination.</w:t>
            </w:r>
          </w:p>
        </w:tc>
      </w:tr>
      <w:tr w:rsidR="008813B8" w:rsidRPr="00D04991" w:rsidTr="00892CED">
        <w:trPr>
          <w:trHeight w:val="1610"/>
          <w:jc w:val="center"/>
        </w:trPr>
        <w:tc>
          <w:tcPr>
            <w:tcW w:w="414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Outputs</w:t>
            </w:r>
          </w:p>
        </w:tc>
        <w:tc>
          <w:tcPr>
            <w:tcW w:w="5796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Investment leads; investor meetings; site visits; project profiles; facilitation cases; aftercare interventions; PPP studies; investor database updates.</w:t>
            </w:r>
          </w:p>
        </w:tc>
      </w:tr>
      <w:tr w:rsidR="008813B8" w:rsidRPr="00D04991" w:rsidTr="00892CED">
        <w:trPr>
          <w:trHeight w:val="1700"/>
          <w:jc w:val="center"/>
        </w:trPr>
        <w:tc>
          <w:tcPr>
            <w:tcW w:w="414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Outcomes</w:t>
            </w:r>
          </w:p>
        </w:tc>
        <w:tc>
          <w:tcPr>
            <w:tcW w:w="5796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More qualified investment pipeline; faster and more coordinated facilitation; resolved investor issues; increased investment commitments; expanded investor base.</w:t>
            </w:r>
          </w:p>
        </w:tc>
      </w:tr>
      <w:tr w:rsidR="008813B8" w:rsidRPr="00D04991" w:rsidTr="00892CED">
        <w:trPr>
          <w:trHeight w:val="1520"/>
          <w:jc w:val="center"/>
        </w:trPr>
        <w:tc>
          <w:tcPr>
            <w:tcW w:w="414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Impact</w:t>
            </w:r>
          </w:p>
        </w:tc>
        <w:tc>
          <w:tcPr>
            <w:tcW w:w="5796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Higher productive investment; job creation; diversification; increased local value addition; improved competitiveness; stronger private-sector participation in Delta State's development.</w:t>
            </w:r>
          </w:p>
        </w:tc>
      </w:tr>
    </w:tbl>
    <w:p w:rsidR="00892CED" w:rsidRDefault="00892CED">
      <w:pPr>
        <w:pStyle w:val="Heading1"/>
      </w:pPr>
    </w:p>
    <w:p w:rsidR="00892CED" w:rsidRPr="00892CED" w:rsidRDefault="00892CED" w:rsidP="00892CED"/>
    <w:p w:rsidR="00892CED" w:rsidRDefault="00892CED" w:rsidP="00892CED">
      <w:pPr>
        <w:pStyle w:val="Heading1"/>
        <w:jc w:val="center"/>
      </w:pPr>
      <w:r>
        <w:lastRenderedPageBreak/>
        <w:t>CHAPTER NINE</w:t>
      </w:r>
    </w:p>
    <w:p w:rsidR="008813B8" w:rsidRDefault="00AA2D10" w:rsidP="00892CED">
      <w:pPr>
        <w:pStyle w:val="Heading1"/>
        <w:jc w:val="center"/>
      </w:pPr>
      <w:r w:rsidRPr="00D04991">
        <w:t>KEY PERFORMANCE INDICATORS AND TARGETS</w:t>
      </w:r>
    </w:p>
    <w:p w:rsidR="00892CED" w:rsidRPr="00892CED" w:rsidRDefault="00892CED" w:rsidP="00892CED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8813B8" w:rsidRPr="00D04991">
        <w:trPr>
          <w:jc w:val="center"/>
        </w:trPr>
        <w:tc>
          <w:tcPr>
            <w:tcW w:w="4968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KPI</w:t>
            </w:r>
          </w:p>
        </w:tc>
        <w:tc>
          <w:tcPr>
            <w:tcW w:w="4968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2025–2028 Planning Target / Direction</w:t>
            </w:r>
          </w:p>
        </w:tc>
      </w:tr>
      <w:tr w:rsidR="008813B8" w:rsidRPr="00D04991" w:rsidTr="00892CED">
        <w:trPr>
          <w:trHeight w:val="620"/>
          <w:jc w:val="center"/>
        </w:trPr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Investment leads generated</w:t>
            </w:r>
          </w:p>
        </w:tc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At least 100 qualified leads cumulatively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Investment proposals / expressions of interest</w:t>
            </w:r>
          </w:p>
        </w:tc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At least 30 qualified opportunities cumulatively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Investment-ready project dossiers</w:t>
            </w:r>
          </w:p>
        </w:tc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At least 10 priority project dossiers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Investor site visits / structured engagements</w:t>
            </w:r>
          </w:p>
        </w:tc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At least 40 cumulatively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Aftercare engagements</w:t>
            </w:r>
          </w:p>
        </w:tc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Minimum monthly programme; documented quarterly results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Investor issues tracked and escalated</w:t>
            </w:r>
          </w:p>
        </w:tc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100% logged; action owner assigned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Priority PPP projects advanced</w:t>
            </w:r>
          </w:p>
        </w:tc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At least 3 major projects through feasibility/transaction stages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Investor CRM coverage</w:t>
            </w:r>
          </w:p>
        </w:tc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All active/pipeline investors captured and periodically updated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Institutional collaboration</w:t>
            </w:r>
          </w:p>
        </w:tc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Formal coordination arrangements with key investment-enabling MDAs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Jobs supported by facilitated investments</w:t>
            </w:r>
          </w:p>
        </w:tc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Planning target of 5,000+ direct/indirect jobs, subject to verification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Investment mobilisation</w:t>
            </w:r>
          </w:p>
        </w:tc>
        <w:tc>
          <w:tcPr>
            <w:tcW w:w="4968" w:type="dxa"/>
            <w:vAlign w:val="center"/>
          </w:tcPr>
          <w:p w:rsidR="008813B8" w:rsidRPr="00D04991" w:rsidRDefault="00AA2D10" w:rsidP="00892CED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Target to be set annually from verified investment pipeline and approved projects</w:t>
            </w:r>
          </w:p>
        </w:tc>
      </w:tr>
    </w:tbl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 xml:space="preserve">Targets are management planning targets and should be recalibrated annually against verified baseline data, fiscal conditions, </w:t>
      </w:r>
      <w:proofErr w:type="gramStart"/>
      <w:r w:rsidRPr="00D04991">
        <w:rPr>
          <w:sz w:val="28"/>
          <w:szCs w:val="28"/>
        </w:rPr>
        <w:t>investor</w:t>
      </w:r>
      <w:proofErr w:type="gramEnd"/>
      <w:r w:rsidRPr="00D04991">
        <w:rPr>
          <w:sz w:val="28"/>
          <w:szCs w:val="28"/>
        </w:rPr>
        <w:t xml:space="preserve"> pipeline quality and approved project schedules.</w:t>
      </w:r>
    </w:p>
    <w:p w:rsidR="00C22364" w:rsidRDefault="00C22364" w:rsidP="00C22364">
      <w:pPr>
        <w:pStyle w:val="Heading1"/>
        <w:jc w:val="center"/>
      </w:pPr>
      <w:r>
        <w:lastRenderedPageBreak/>
        <w:t>CHAPTER TEN</w:t>
      </w:r>
    </w:p>
    <w:p w:rsidR="008813B8" w:rsidRPr="00D04991" w:rsidRDefault="00AA2D10" w:rsidP="00C22364">
      <w:pPr>
        <w:pStyle w:val="Heading1"/>
        <w:jc w:val="center"/>
      </w:pPr>
      <w:r w:rsidRPr="00D04991">
        <w:t>INVESTMENT FACILITATION, ONE STOP SHOP AND INVESTOR AFTERCARE</w:t>
      </w:r>
    </w:p>
    <w:p w:rsidR="00C22364" w:rsidRDefault="00C22364">
      <w:pPr>
        <w:pStyle w:val="Heading2"/>
        <w:rPr>
          <w:sz w:val="28"/>
          <w:szCs w:val="28"/>
        </w:rPr>
      </w:pPr>
    </w:p>
    <w:p w:rsidR="008813B8" w:rsidRPr="00D04991" w:rsidRDefault="00AA2D10">
      <w:pPr>
        <w:pStyle w:val="Heading2"/>
        <w:rPr>
          <w:sz w:val="28"/>
          <w:szCs w:val="28"/>
        </w:rPr>
      </w:pPr>
      <w:r w:rsidRPr="00D04991">
        <w:rPr>
          <w:sz w:val="28"/>
          <w:szCs w:val="28"/>
        </w:rPr>
        <w:t>One Stop Shop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DIDA will coordinate investor-facing information and facilitate interaction with relevant MDAs including Lands and Surveys, Environment, Trade and Investment, DSIRS, Oil and Gas and other agencies as required.</w:t>
      </w:r>
    </w:p>
    <w:p w:rsidR="00C22364" w:rsidRDefault="00C22364">
      <w:pPr>
        <w:pStyle w:val="Heading2"/>
        <w:rPr>
          <w:sz w:val="28"/>
          <w:szCs w:val="28"/>
        </w:rPr>
      </w:pPr>
    </w:p>
    <w:p w:rsidR="008813B8" w:rsidRPr="00D04991" w:rsidRDefault="00AA2D10">
      <w:pPr>
        <w:pStyle w:val="Heading2"/>
        <w:rPr>
          <w:sz w:val="28"/>
          <w:szCs w:val="28"/>
        </w:rPr>
      </w:pPr>
      <w:r w:rsidRPr="00D04991">
        <w:rPr>
          <w:sz w:val="28"/>
          <w:szCs w:val="28"/>
        </w:rPr>
        <w:t>Investor Tracking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The CRM</w:t>
      </w:r>
      <w:r w:rsidR="00C22364">
        <w:rPr>
          <w:sz w:val="28"/>
          <w:szCs w:val="28"/>
        </w:rPr>
        <w:t xml:space="preserve"> will</w:t>
      </w:r>
      <w:r w:rsidRPr="00D04991">
        <w:rPr>
          <w:sz w:val="28"/>
          <w:szCs w:val="28"/>
        </w:rPr>
        <w:t xml:space="preserve"> capture investor/company, sector, location, value, stage, engagement history, issues, actions, responsible officer, resolution status and next steps.</w:t>
      </w:r>
    </w:p>
    <w:p w:rsidR="00C22364" w:rsidRDefault="00C22364">
      <w:pPr>
        <w:pStyle w:val="Heading2"/>
        <w:rPr>
          <w:sz w:val="28"/>
          <w:szCs w:val="28"/>
        </w:rPr>
      </w:pPr>
    </w:p>
    <w:p w:rsidR="008813B8" w:rsidRPr="00D04991" w:rsidRDefault="00AA2D10">
      <w:pPr>
        <w:pStyle w:val="Heading2"/>
        <w:rPr>
          <w:sz w:val="28"/>
          <w:szCs w:val="28"/>
        </w:rPr>
      </w:pPr>
      <w:r w:rsidRPr="00D04991">
        <w:rPr>
          <w:sz w:val="28"/>
          <w:szCs w:val="28"/>
        </w:rPr>
        <w:t>Aftercare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Structured monthly/quarterly investor visits and engagements will identify operational constraints, expansion opportunities and reinvestment prospects.</w:t>
      </w:r>
    </w:p>
    <w:p w:rsidR="00C22364" w:rsidRDefault="00C22364">
      <w:pPr>
        <w:pStyle w:val="Heading2"/>
        <w:rPr>
          <w:sz w:val="28"/>
          <w:szCs w:val="28"/>
        </w:rPr>
      </w:pPr>
    </w:p>
    <w:p w:rsidR="008813B8" w:rsidRPr="00D04991" w:rsidRDefault="00AA2D10">
      <w:pPr>
        <w:pStyle w:val="Heading2"/>
        <w:rPr>
          <w:sz w:val="28"/>
          <w:szCs w:val="28"/>
        </w:rPr>
      </w:pPr>
      <w:r w:rsidRPr="00D04991">
        <w:rPr>
          <w:sz w:val="28"/>
          <w:szCs w:val="28"/>
        </w:rPr>
        <w:t>Issue Escalation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Investor issues should be assigned an owner, tracked to resolution and escalated through agreed institutional channels where necessary.</w:t>
      </w:r>
    </w:p>
    <w:p w:rsidR="00C22364" w:rsidRDefault="00C22364">
      <w:pPr>
        <w:pStyle w:val="Heading2"/>
        <w:rPr>
          <w:sz w:val="28"/>
          <w:szCs w:val="28"/>
        </w:rPr>
      </w:pPr>
    </w:p>
    <w:p w:rsidR="008813B8" w:rsidRPr="00D04991" w:rsidRDefault="00AA2D10">
      <w:pPr>
        <w:pStyle w:val="Heading2"/>
        <w:rPr>
          <w:sz w:val="28"/>
          <w:szCs w:val="28"/>
        </w:rPr>
      </w:pPr>
      <w:r w:rsidRPr="00D04991">
        <w:rPr>
          <w:sz w:val="28"/>
          <w:szCs w:val="28"/>
        </w:rPr>
        <w:t>Digital Services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DIDA will strengthen its website, digital information channels and investor communications to improve transparency and access to investment information.</w:t>
      </w:r>
    </w:p>
    <w:p w:rsidR="00C22364" w:rsidRDefault="00C22364">
      <w:pPr>
        <w:pStyle w:val="Heading1"/>
      </w:pPr>
    </w:p>
    <w:p w:rsidR="00C22364" w:rsidRDefault="00C22364" w:rsidP="00C22364">
      <w:pPr>
        <w:pStyle w:val="Heading1"/>
        <w:jc w:val="center"/>
      </w:pPr>
      <w:r>
        <w:t>CHAPTER ELEVEN</w:t>
      </w:r>
    </w:p>
    <w:p w:rsidR="008813B8" w:rsidRPr="00D04991" w:rsidRDefault="00AA2D10" w:rsidP="00C22364">
      <w:pPr>
        <w:pStyle w:val="Heading1"/>
        <w:jc w:val="center"/>
      </w:pPr>
      <w:r w:rsidRPr="00D04991">
        <w:t>INSTITUTIONAL COORDINATION AND GOVERNANCE</w:t>
      </w:r>
    </w:p>
    <w:p w:rsidR="00C22364" w:rsidRDefault="00C22364">
      <w:pPr>
        <w:rPr>
          <w:sz w:val="28"/>
          <w:szCs w:val="28"/>
        </w:rPr>
      </w:pPr>
    </w:p>
    <w:p w:rsidR="008813B8" w:rsidRDefault="00AA2D10">
      <w:pPr>
        <w:rPr>
          <w:sz w:val="28"/>
          <w:szCs w:val="28"/>
        </w:rPr>
      </w:pPr>
      <w:r w:rsidRPr="00D04991">
        <w:rPr>
          <w:sz w:val="28"/>
          <w:szCs w:val="28"/>
        </w:rPr>
        <w:t>Implementation requires a coordinated whole-of-government approach. DIDA will work with relevant MDAs, the Delta State Economic Management Team, private-sector organisations, development partners, financiers and host communities.</w:t>
      </w:r>
    </w:p>
    <w:p w:rsidR="00C22364" w:rsidRPr="00D04991" w:rsidRDefault="00C22364">
      <w:pPr>
        <w:rPr>
          <w:rFonts w:hint="eastAsia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8813B8" w:rsidRPr="00D04991">
        <w:trPr>
          <w:jc w:val="center"/>
        </w:trPr>
        <w:tc>
          <w:tcPr>
            <w:tcW w:w="4968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Institution / Stakeholder</w:t>
            </w:r>
          </w:p>
        </w:tc>
        <w:tc>
          <w:tcPr>
            <w:tcW w:w="4968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Indicative Role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DIDA</w:t>
            </w:r>
          </w:p>
        </w:tc>
        <w:tc>
          <w:tcPr>
            <w:tcW w:w="4968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Lead investment promotion, facilitation, project development, investor tracking and aftercare.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Delta State Economic Management Team</w:t>
            </w:r>
          </w:p>
        </w:tc>
        <w:tc>
          <w:tcPr>
            <w:tcW w:w="4968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Strategic economic coordination and alignment.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Relevant MDAs</w:t>
            </w:r>
          </w:p>
        </w:tc>
        <w:tc>
          <w:tcPr>
            <w:tcW w:w="4968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Regulatory approvals, land, environment, tax, infrastructure, sector-specific facilitation.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Private Sector / Chambers</w:t>
            </w:r>
          </w:p>
        </w:tc>
        <w:tc>
          <w:tcPr>
            <w:tcW w:w="4968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Investor intelligence, business advocacy, market feedback and partnerships.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Financial Institutions / DFIs</w:t>
            </w:r>
          </w:p>
        </w:tc>
        <w:tc>
          <w:tcPr>
            <w:tcW w:w="4968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Project finance, transaction support and investment mobilisation.</w:t>
            </w:r>
          </w:p>
        </w:tc>
      </w:tr>
      <w:tr w:rsidR="008813B8" w:rsidRPr="00D04991">
        <w:trPr>
          <w:jc w:val="center"/>
        </w:trPr>
        <w:tc>
          <w:tcPr>
            <w:tcW w:w="4968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Host Communities</w:t>
            </w:r>
          </w:p>
        </w:tc>
        <w:tc>
          <w:tcPr>
            <w:tcW w:w="4968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Community engagement, social licence and local participation.</w:t>
            </w:r>
          </w:p>
        </w:tc>
      </w:tr>
    </w:tbl>
    <w:p w:rsidR="00C22364" w:rsidRDefault="00C22364" w:rsidP="00C22364">
      <w:pPr>
        <w:pStyle w:val="Heading1"/>
        <w:jc w:val="center"/>
      </w:pPr>
    </w:p>
    <w:p w:rsidR="00C22364" w:rsidRDefault="00C22364" w:rsidP="00C22364">
      <w:pPr>
        <w:pStyle w:val="Heading1"/>
        <w:jc w:val="center"/>
      </w:pPr>
      <w:r>
        <w:t>CHAPTER TWELVE</w:t>
      </w:r>
    </w:p>
    <w:p w:rsidR="008813B8" w:rsidRDefault="00AA2D10" w:rsidP="00C22364">
      <w:pPr>
        <w:pStyle w:val="Heading1"/>
        <w:jc w:val="center"/>
      </w:pPr>
      <w:r w:rsidRPr="00D04991">
        <w:t>MONITORING, EVALUATION, LEARNING AND REPORTING</w:t>
      </w:r>
    </w:p>
    <w:p w:rsidR="00C22364" w:rsidRPr="00C22364" w:rsidRDefault="00C22364" w:rsidP="00C22364"/>
    <w:p w:rsidR="008813B8" w:rsidRDefault="00AA2D10">
      <w:pPr>
        <w:rPr>
          <w:sz w:val="28"/>
          <w:szCs w:val="28"/>
        </w:rPr>
      </w:pPr>
      <w:r w:rsidRPr="00D04991">
        <w:rPr>
          <w:sz w:val="28"/>
          <w:szCs w:val="28"/>
        </w:rPr>
        <w:t>DIDA will maintain an evidence-based performance system. Quarterly management reviews will assess KPI performance, pipeline movement, facilitation issues, project milestones and risks. Annual reviews will update targets and priorities.</w:t>
      </w:r>
    </w:p>
    <w:p w:rsidR="00C22364" w:rsidRPr="00D04991" w:rsidRDefault="00C22364">
      <w:pPr>
        <w:rPr>
          <w:rFonts w:hint="eastAsia"/>
          <w:sz w:val="28"/>
          <w:szCs w:val="28"/>
        </w:rPr>
      </w:pPr>
    </w:p>
    <w:p w:rsidR="008813B8" w:rsidRPr="00D04991" w:rsidRDefault="00AA2D10" w:rsidP="00C22364">
      <w:pPr>
        <w:pStyle w:val="ListBullet"/>
        <w:spacing w:line="360" w:lineRule="auto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Quarterly KPI dashboard</w:t>
      </w:r>
    </w:p>
    <w:p w:rsidR="008813B8" w:rsidRPr="00D04991" w:rsidRDefault="00AA2D10" w:rsidP="00C22364">
      <w:pPr>
        <w:pStyle w:val="ListBullet"/>
        <w:spacing w:line="360" w:lineRule="auto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Investor CRM and pipeline reports</w:t>
      </w:r>
    </w:p>
    <w:p w:rsidR="008813B8" w:rsidRPr="00D04991" w:rsidRDefault="00AA2D10" w:rsidP="00C22364">
      <w:pPr>
        <w:pStyle w:val="ListBullet"/>
        <w:spacing w:line="360" w:lineRule="auto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Project milestone reports</w:t>
      </w:r>
    </w:p>
    <w:p w:rsidR="008813B8" w:rsidRPr="00D04991" w:rsidRDefault="00AA2D10" w:rsidP="00C22364">
      <w:pPr>
        <w:pStyle w:val="ListBullet"/>
        <w:spacing w:line="360" w:lineRule="auto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Aftercare and issue-resolution reports</w:t>
      </w:r>
    </w:p>
    <w:p w:rsidR="008813B8" w:rsidRPr="00D04991" w:rsidRDefault="00AA2D10" w:rsidP="00C22364">
      <w:pPr>
        <w:pStyle w:val="ListBullet"/>
        <w:spacing w:line="360" w:lineRule="auto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Annual corporate performance report</w:t>
      </w:r>
    </w:p>
    <w:p w:rsidR="008813B8" w:rsidRPr="00D04991" w:rsidRDefault="00AA2D10" w:rsidP="00C22364">
      <w:pPr>
        <w:pStyle w:val="ListBullet"/>
        <w:spacing w:line="360" w:lineRule="auto"/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Evidence repository for reform and verification programmes</w:t>
      </w:r>
    </w:p>
    <w:p w:rsidR="00C22364" w:rsidRDefault="00C22364">
      <w:pPr>
        <w:pStyle w:val="Heading1"/>
      </w:pPr>
    </w:p>
    <w:p w:rsidR="00C22364" w:rsidRDefault="00C22364">
      <w:pPr>
        <w:pStyle w:val="Heading1"/>
      </w:pPr>
    </w:p>
    <w:p w:rsidR="00C22364" w:rsidRDefault="00C22364">
      <w:pPr>
        <w:pStyle w:val="Heading1"/>
      </w:pPr>
    </w:p>
    <w:p w:rsidR="00C22364" w:rsidRDefault="00C22364">
      <w:pPr>
        <w:pStyle w:val="Heading1"/>
      </w:pPr>
    </w:p>
    <w:p w:rsidR="00C22364" w:rsidRDefault="00C22364">
      <w:pPr>
        <w:pStyle w:val="Heading1"/>
      </w:pPr>
    </w:p>
    <w:p w:rsidR="00C22364" w:rsidRDefault="00C22364" w:rsidP="00C22364"/>
    <w:p w:rsidR="00C22364" w:rsidRPr="00C22364" w:rsidRDefault="00C22364" w:rsidP="00C22364"/>
    <w:p w:rsidR="00C22364" w:rsidRDefault="00C22364" w:rsidP="00C22364">
      <w:pPr>
        <w:pStyle w:val="Heading1"/>
        <w:jc w:val="center"/>
      </w:pPr>
      <w:r>
        <w:lastRenderedPageBreak/>
        <w:t>CHAPTER THIRTEEN</w:t>
      </w:r>
    </w:p>
    <w:p w:rsidR="008813B8" w:rsidRDefault="00C22364" w:rsidP="00C22364">
      <w:pPr>
        <w:pStyle w:val="Heading1"/>
      </w:pPr>
      <w:r>
        <w:t xml:space="preserve">13.0 </w:t>
      </w:r>
      <w:r w:rsidR="00AA2D10" w:rsidRPr="00D04991">
        <w:t>RISK MANAGEMENT</w:t>
      </w:r>
    </w:p>
    <w:p w:rsidR="00C22364" w:rsidRPr="00C22364" w:rsidRDefault="00C22364" w:rsidP="00C22364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8813B8" w:rsidRPr="00D04991">
        <w:trPr>
          <w:jc w:val="center"/>
        </w:trPr>
        <w:tc>
          <w:tcPr>
            <w:tcW w:w="3312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Risk</w:t>
            </w:r>
          </w:p>
        </w:tc>
        <w:tc>
          <w:tcPr>
            <w:tcW w:w="3312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Potential Effect</w:t>
            </w:r>
          </w:p>
        </w:tc>
        <w:tc>
          <w:tcPr>
            <w:tcW w:w="3312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Mitigation</w:t>
            </w:r>
          </w:p>
        </w:tc>
      </w:tr>
      <w:tr w:rsidR="008813B8" w:rsidRPr="00D04991">
        <w:trPr>
          <w:jc w:val="center"/>
        </w:trPr>
        <w:tc>
          <w:tcPr>
            <w:tcW w:w="3312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Infrastructure constraints</w:t>
            </w:r>
          </w:p>
        </w:tc>
        <w:tc>
          <w:tcPr>
            <w:tcW w:w="3312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Reduced investor attractiveness</w:t>
            </w:r>
          </w:p>
        </w:tc>
        <w:tc>
          <w:tcPr>
            <w:tcW w:w="3312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Prioritise serviced investment locations and infrastructure partnerships.</w:t>
            </w:r>
          </w:p>
        </w:tc>
      </w:tr>
      <w:tr w:rsidR="008813B8" w:rsidRPr="00D04991">
        <w:trPr>
          <w:jc w:val="center"/>
        </w:trPr>
        <w:tc>
          <w:tcPr>
            <w:tcW w:w="3312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Regulatory delays</w:t>
            </w:r>
          </w:p>
        </w:tc>
        <w:tc>
          <w:tcPr>
            <w:tcW w:w="3312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Longer investment timelines</w:t>
            </w:r>
          </w:p>
        </w:tc>
        <w:tc>
          <w:tcPr>
            <w:tcW w:w="3312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One Stop Shop coordination, service standards and escalation.</w:t>
            </w:r>
          </w:p>
        </w:tc>
      </w:tr>
      <w:tr w:rsidR="008813B8" w:rsidRPr="00D04991">
        <w:trPr>
          <w:jc w:val="center"/>
        </w:trPr>
        <w:tc>
          <w:tcPr>
            <w:tcW w:w="3312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Project preparation gaps</w:t>
            </w:r>
          </w:p>
        </w:tc>
        <w:tc>
          <w:tcPr>
            <w:tcW w:w="3312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Low investor conversion</w:t>
            </w:r>
          </w:p>
        </w:tc>
        <w:tc>
          <w:tcPr>
            <w:tcW w:w="3312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Use feasibility studies, transaction advisers and market sounding.</w:t>
            </w:r>
          </w:p>
        </w:tc>
      </w:tr>
      <w:tr w:rsidR="008813B8" w:rsidRPr="00D04991">
        <w:trPr>
          <w:jc w:val="center"/>
        </w:trPr>
        <w:tc>
          <w:tcPr>
            <w:tcW w:w="3312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Financing constraints</w:t>
            </w:r>
          </w:p>
        </w:tc>
        <w:tc>
          <w:tcPr>
            <w:tcW w:w="3312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Delayed project implementation</w:t>
            </w:r>
          </w:p>
        </w:tc>
        <w:tc>
          <w:tcPr>
            <w:tcW w:w="3312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Blend PPP, private capital, DFIs and appropriate public support.</w:t>
            </w:r>
          </w:p>
        </w:tc>
      </w:tr>
      <w:tr w:rsidR="008813B8" w:rsidRPr="00D04991">
        <w:trPr>
          <w:jc w:val="center"/>
        </w:trPr>
        <w:tc>
          <w:tcPr>
            <w:tcW w:w="3312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Community issues</w:t>
            </w:r>
          </w:p>
        </w:tc>
        <w:tc>
          <w:tcPr>
            <w:tcW w:w="3312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Project disruption</w:t>
            </w:r>
          </w:p>
        </w:tc>
        <w:tc>
          <w:tcPr>
            <w:tcW w:w="3312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Early engagement, grievance mechanisms and local participation.</w:t>
            </w:r>
          </w:p>
        </w:tc>
      </w:tr>
      <w:tr w:rsidR="008813B8" w:rsidRPr="00D04991">
        <w:trPr>
          <w:jc w:val="center"/>
        </w:trPr>
        <w:tc>
          <w:tcPr>
            <w:tcW w:w="3312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Data gaps</w:t>
            </w:r>
          </w:p>
        </w:tc>
        <w:tc>
          <w:tcPr>
            <w:tcW w:w="3312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Weak performance verification</w:t>
            </w:r>
          </w:p>
        </w:tc>
        <w:tc>
          <w:tcPr>
            <w:tcW w:w="3312" w:type="dxa"/>
            <w:vAlign w:val="center"/>
          </w:tcPr>
          <w:p w:rsidR="008813B8" w:rsidRPr="00D04991" w:rsidRDefault="00AA2D10" w:rsidP="00C22364">
            <w:pPr>
              <w:spacing w:line="360" w:lineRule="auto"/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Standardised CRM, evidence management and periodic validation.</w:t>
            </w:r>
          </w:p>
        </w:tc>
      </w:tr>
    </w:tbl>
    <w:p w:rsidR="008813B8" w:rsidRPr="00D04991" w:rsidRDefault="00C22364">
      <w:pPr>
        <w:pStyle w:val="Heading1"/>
      </w:pPr>
      <w:r>
        <w:t>13.1</w:t>
      </w:r>
      <w:r>
        <w:tab/>
      </w:r>
      <w:r w:rsidR="00AA2D10" w:rsidRPr="00D04991">
        <w:t>FINANCING AND RESOURCE MOBILISATION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DIDA will combine public budgetary resources with private capital, PPP structures, development-finance support, technical assistance and strategic partnerships. Project financing</w:t>
      </w:r>
      <w:r w:rsidR="00C1719E">
        <w:rPr>
          <w:sz w:val="28"/>
          <w:szCs w:val="28"/>
        </w:rPr>
        <w:t xml:space="preserve"> will be separated from DIDA’s A</w:t>
      </w:r>
      <w:r w:rsidRPr="00D04991">
        <w:rPr>
          <w:sz w:val="28"/>
          <w:szCs w:val="28"/>
        </w:rPr>
        <w:t>dministrative budget and subjected to appropriate feasibility, procurement, legal and financial controls.</w:t>
      </w:r>
    </w:p>
    <w:p w:rsidR="00C22364" w:rsidRDefault="00C22364" w:rsidP="00C22364">
      <w:pPr>
        <w:pStyle w:val="Heading1"/>
        <w:jc w:val="center"/>
      </w:pPr>
      <w:r>
        <w:lastRenderedPageBreak/>
        <w:t>CHAPTER FIFTEEN</w:t>
      </w:r>
    </w:p>
    <w:p w:rsidR="008813B8" w:rsidRDefault="00AA2D10" w:rsidP="00C22364">
      <w:pPr>
        <w:pStyle w:val="Heading1"/>
        <w:jc w:val="center"/>
      </w:pPr>
      <w:r w:rsidRPr="00D04991">
        <w:t>CONCLUSION</w:t>
      </w:r>
    </w:p>
    <w:p w:rsidR="00C22364" w:rsidRPr="00C22364" w:rsidRDefault="00C22364" w:rsidP="00C22364"/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t>The DIDA Corporate Plan 2025–2028 provides a practical fram</w:t>
      </w:r>
      <w:r w:rsidR="00C1719E">
        <w:rPr>
          <w:sz w:val="28"/>
          <w:szCs w:val="28"/>
        </w:rPr>
        <w:t>ework for moving Delta State’s Investment P</w:t>
      </w:r>
      <w:r w:rsidRPr="00D04991">
        <w:rPr>
          <w:sz w:val="28"/>
          <w:szCs w:val="28"/>
        </w:rPr>
        <w:t>romotion agenda from broad opportunity presentation to structured investor acquisition, facilitation, retention and measurable economic impact. Its success will depend on strong inter-agency coordination, credible project preparation, responsive investor services, evidence-based monitoring and sustained engagement with private investors.</w:t>
      </w:r>
    </w:p>
    <w:p w:rsidR="00C22364" w:rsidRDefault="00C22364">
      <w:pPr>
        <w:rPr>
          <w:sz w:val="28"/>
          <w:szCs w:val="28"/>
        </w:rPr>
      </w:pPr>
    </w:p>
    <w:p w:rsidR="008813B8" w:rsidRPr="00D04991" w:rsidRDefault="00C1719E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This</w:t>
      </w:r>
      <w:r w:rsidR="00AA2D10" w:rsidRPr="00D04991">
        <w:rPr>
          <w:sz w:val="28"/>
          <w:szCs w:val="28"/>
        </w:rPr>
        <w:t xml:space="preserve"> Plan </w:t>
      </w:r>
      <w:r>
        <w:rPr>
          <w:sz w:val="28"/>
          <w:szCs w:val="28"/>
        </w:rPr>
        <w:t>will</w:t>
      </w:r>
      <w:bookmarkStart w:id="0" w:name="_GoBack"/>
      <w:bookmarkEnd w:id="0"/>
      <w:r w:rsidR="00AA2D10" w:rsidRPr="00D04991">
        <w:rPr>
          <w:sz w:val="28"/>
          <w:szCs w:val="28"/>
        </w:rPr>
        <w:t xml:space="preserve"> serve as the reference framework for annual work planning, budgeting, investor-promotion campaigns, project development, PPP mobilisation and performance reporting during 2025–2028.</w:t>
      </w:r>
    </w:p>
    <w:p w:rsidR="008813B8" w:rsidRPr="00D04991" w:rsidRDefault="00AA2D10">
      <w:pPr>
        <w:rPr>
          <w:rFonts w:hint="eastAsia"/>
          <w:sz w:val="28"/>
          <w:szCs w:val="28"/>
        </w:rPr>
      </w:pPr>
      <w:r w:rsidRPr="00D04991">
        <w:rPr>
          <w:sz w:val="28"/>
          <w:szCs w:val="28"/>
        </w:rPr>
        <w:br w:type="page"/>
      </w:r>
    </w:p>
    <w:p w:rsidR="008813B8" w:rsidRPr="00D04991" w:rsidRDefault="00AA2D10">
      <w:pPr>
        <w:pStyle w:val="Heading1"/>
      </w:pPr>
      <w:r w:rsidRPr="00D04991">
        <w:lastRenderedPageBreak/>
        <w:t>ANNEX I: INDICATIVE PROJECT PIPELINE</w:t>
      </w:r>
    </w:p>
    <w:tbl>
      <w:tblPr>
        <w:tblStyle w:val="TableGrid"/>
        <w:tblW w:w="10521" w:type="dxa"/>
        <w:jc w:val="center"/>
        <w:tblLook w:val="04A0" w:firstRow="1" w:lastRow="0" w:firstColumn="1" w:lastColumn="0" w:noHBand="0" w:noVBand="1"/>
      </w:tblPr>
      <w:tblGrid>
        <w:gridCol w:w="2284"/>
        <w:gridCol w:w="1880"/>
        <w:gridCol w:w="2487"/>
        <w:gridCol w:w="1663"/>
        <w:gridCol w:w="2207"/>
      </w:tblGrid>
      <w:tr w:rsidR="008813B8" w:rsidRPr="00D04991" w:rsidTr="00AA2D10">
        <w:trPr>
          <w:jc w:val="center"/>
        </w:trPr>
        <w:tc>
          <w:tcPr>
            <w:tcW w:w="2284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Project</w:t>
            </w:r>
          </w:p>
        </w:tc>
        <w:tc>
          <w:tcPr>
            <w:tcW w:w="1880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Sector</w:t>
            </w:r>
          </w:p>
        </w:tc>
        <w:tc>
          <w:tcPr>
            <w:tcW w:w="2487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Location / Corridor</w:t>
            </w:r>
          </w:p>
        </w:tc>
        <w:tc>
          <w:tcPr>
            <w:tcW w:w="1663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Stage for Plan Purposes</w:t>
            </w:r>
          </w:p>
        </w:tc>
        <w:tc>
          <w:tcPr>
            <w:tcW w:w="2207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Potential Delivery Approach</w:t>
            </w:r>
          </w:p>
        </w:tc>
      </w:tr>
      <w:tr w:rsidR="008813B8" w:rsidRPr="00D04991" w:rsidTr="00AA2D10">
        <w:trPr>
          <w:jc w:val="center"/>
        </w:trPr>
        <w:tc>
          <w:tcPr>
            <w:tcW w:w="22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Aboh–Ogwashi-Uku Agro-Processing Platform</w:t>
            </w:r>
          </w:p>
        </w:tc>
        <w:tc>
          <w:tcPr>
            <w:tcW w:w="188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Agro</w:t>
            </w:r>
          </w:p>
        </w:tc>
        <w:tc>
          <w:tcPr>
            <w:tcW w:w="2487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Aboh–Ogwashi-Uku axis</w:t>
            </w:r>
          </w:p>
        </w:tc>
        <w:tc>
          <w:tcPr>
            <w:tcW w:w="1663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Priority development</w:t>
            </w:r>
          </w:p>
        </w:tc>
        <w:tc>
          <w:tcPr>
            <w:tcW w:w="2207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PPP / JV / concession</w:t>
            </w:r>
          </w:p>
        </w:tc>
      </w:tr>
      <w:tr w:rsidR="008813B8" w:rsidRPr="00D04991" w:rsidTr="00AA2D10">
        <w:trPr>
          <w:jc w:val="center"/>
        </w:trPr>
        <w:tc>
          <w:tcPr>
            <w:tcW w:w="22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Kwale/Koko Special Economic Zone</w:t>
            </w:r>
          </w:p>
        </w:tc>
        <w:tc>
          <w:tcPr>
            <w:tcW w:w="188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Industrial / Logistics</w:t>
            </w:r>
          </w:p>
        </w:tc>
        <w:tc>
          <w:tcPr>
            <w:tcW w:w="2487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Kwale/Koko</w:t>
            </w:r>
          </w:p>
        </w:tc>
        <w:tc>
          <w:tcPr>
            <w:tcW w:w="1663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Cluster development</w:t>
            </w:r>
          </w:p>
        </w:tc>
        <w:tc>
          <w:tcPr>
            <w:tcW w:w="2207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PPP / concession / private investment</w:t>
            </w:r>
          </w:p>
        </w:tc>
      </w:tr>
      <w:tr w:rsidR="008813B8" w:rsidRPr="00D04991" w:rsidTr="00AA2D10">
        <w:trPr>
          <w:jc w:val="center"/>
        </w:trPr>
        <w:tc>
          <w:tcPr>
            <w:tcW w:w="22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Gas-to-Power / Industrial Energy Platform</w:t>
            </w:r>
          </w:p>
        </w:tc>
        <w:tc>
          <w:tcPr>
            <w:tcW w:w="188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Oil &amp; Gas / Energy</w:t>
            </w:r>
          </w:p>
        </w:tc>
        <w:tc>
          <w:tcPr>
            <w:tcW w:w="2487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Gas-producing/</w:t>
            </w:r>
            <w:r>
              <w:rPr>
                <w:sz w:val="28"/>
                <w:szCs w:val="28"/>
              </w:rPr>
              <w:t xml:space="preserve"> </w:t>
            </w:r>
            <w:r w:rsidRPr="00D04991">
              <w:rPr>
                <w:sz w:val="28"/>
                <w:szCs w:val="28"/>
              </w:rPr>
              <w:t>industrial corridors</w:t>
            </w:r>
          </w:p>
        </w:tc>
        <w:tc>
          <w:tcPr>
            <w:tcW w:w="1663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Concept / development</w:t>
            </w:r>
          </w:p>
        </w:tc>
        <w:tc>
          <w:tcPr>
            <w:tcW w:w="2207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IPP / BOOT / PPP</w:t>
            </w:r>
          </w:p>
        </w:tc>
      </w:tr>
      <w:tr w:rsidR="008813B8" w:rsidRPr="00D04991" w:rsidTr="00AA2D10">
        <w:trPr>
          <w:jc w:val="center"/>
        </w:trPr>
        <w:tc>
          <w:tcPr>
            <w:tcW w:w="22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Manufacturing Cluster</w:t>
            </w:r>
          </w:p>
        </w:tc>
        <w:tc>
          <w:tcPr>
            <w:tcW w:w="188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Manufacturing</w:t>
            </w:r>
          </w:p>
        </w:tc>
        <w:tc>
          <w:tcPr>
            <w:tcW w:w="2487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Existing industrial corridors</w:t>
            </w:r>
          </w:p>
        </w:tc>
        <w:tc>
          <w:tcPr>
            <w:tcW w:w="1663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Investment promotion</w:t>
            </w:r>
          </w:p>
        </w:tc>
        <w:tc>
          <w:tcPr>
            <w:tcW w:w="2207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Developer-led PPP / private investment</w:t>
            </w:r>
          </w:p>
        </w:tc>
      </w:tr>
      <w:tr w:rsidR="008813B8" w:rsidRPr="00D04991" w:rsidTr="00AA2D10">
        <w:trPr>
          <w:jc w:val="center"/>
        </w:trPr>
        <w:tc>
          <w:tcPr>
            <w:tcW w:w="2284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Marine &amp; Logistics Platform</w:t>
            </w:r>
          </w:p>
        </w:tc>
        <w:tc>
          <w:tcPr>
            <w:tcW w:w="188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Marine / Logistics</w:t>
            </w:r>
          </w:p>
        </w:tc>
        <w:tc>
          <w:tcPr>
            <w:tcW w:w="2487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Warri/Sapele/</w:t>
            </w:r>
            <w:r>
              <w:rPr>
                <w:sz w:val="28"/>
                <w:szCs w:val="28"/>
              </w:rPr>
              <w:t xml:space="preserve"> </w:t>
            </w:r>
            <w:r w:rsidRPr="00D04991">
              <w:rPr>
                <w:sz w:val="28"/>
                <w:szCs w:val="28"/>
              </w:rPr>
              <w:t>Koko corridors</w:t>
            </w:r>
          </w:p>
        </w:tc>
        <w:tc>
          <w:tcPr>
            <w:tcW w:w="1663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Opportunity development</w:t>
            </w:r>
          </w:p>
        </w:tc>
        <w:tc>
          <w:tcPr>
            <w:tcW w:w="2207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PPP / concession / private investment</w:t>
            </w:r>
          </w:p>
        </w:tc>
      </w:tr>
    </w:tbl>
    <w:p w:rsidR="008813B8" w:rsidRPr="00D04991" w:rsidRDefault="00AA2D10">
      <w:pPr>
        <w:pStyle w:val="Heading1"/>
      </w:pPr>
      <w:r w:rsidRPr="00D04991">
        <w:t>ANNEX II: ANNUAL KPI MATRIX</w:t>
      </w:r>
    </w:p>
    <w:tbl>
      <w:tblPr>
        <w:tblStyle w:val="TableGrid"/>
        <w:tblW w:w="0" w:type="auto"/>
        <w:jc w:val="center"/>
        <w:tblInd w:w="-327" w:type="dxa"/>
        <w:tblLook w:val="04A0" w:firstRow="1" w:lastRow="0" w:firstColumn="1" w:lastColumn="0" w:noHBand="0" w:noVBand="1"/>
      </w:tblPr>
      <w:tblGrid>
        <w:gridCol w:w="3369"/>
        <w:gridCol w:w="1620"/>
        <w:gridCol w:w="1350"/>
        <w:gridCol w:w="2610"/>
        <w:gridCol w:w="1508"/>
      </w:tblGrid>
      <w:tr w:rsidR="008813B8" w:rsidRPr="00D04991" w:rsidTr="000C1356">
        <w:trPr>
          <w:jc w:val="center"/>
        </w:trPr>
        <w:tc>
          <w:tcPr>
            <w:tcW w:w="3369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Indicator</w:t>
            </w:r>
          </w:p>
        </w:tc>
        <w:tc>
          <w:tcPr>
            <w:tcW w:w="1620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2025</w:t>
            </w:r>
          </w:p>
        </w:tc>
        <w:tc>
          <w:tcPr>
            <w:tcW w:w="1350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2026</w:t>
            </w:r>
          </w:p>
        </w:tc>
        <w:tc>
          <w:tcPr>
            <w:tcW w:w="2610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2027</w:t>
            </w:r>
          </w:p>
        </w:tc>
        <w:tc>
          <w:tcPr>
            <w:tcW w:w="1508" w:type="dxa"/>
            <w:shd w:val="clear" w:color="auto" w:fill="1F4E78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b/>
                <w:color w:val="FFFFFF"/>
                <w:sz w:val="28"/>
                <w:szCs w:val="28"/>
              </w:rPr>
              <w:t>2028</w:t>
            </w:r>
          </w:p>
        </w:tc>
      </w:tr>
      <w:tr w:rsidR="008813B8" w:rsidRPr="00D04991" w:rsidTr="000C1356">
        <w:trPr>
          <w:jc w:val="center"/>
        </w:trPr>
        <w:tc>
          <w:tcPr>
            <w:tcW w:w="3369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Qualified investor leads</w:t>
            </w:r>
          </w:p>
        </w:tc>
        <w:tc>
          <w:tcPr>
            <w:tcW w:w="162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Baseline / establish</w:t>
            </w:r>
          </w:p>
        </w:tc>
        <w:tc>
          <w:tcPr>
            <w:tcW w:w="135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25+</w:t>
            </w:r>
          </w:p>
        </w:tc>
        <w:tc>
          <w:tcPr>
            <w:tcW w:w="261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30+</w:t>
            </w:r>
          </w:p>
        </w:tc>
        <w:tc>
          <w:tcPr>
            <w:tcW w:w="150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40+</w:t>
            </w:r>
          </w:p>
        </w:tc>
      </w:tr>
      <w:tr w:rsidR="008813B8" w:rsidRPr="00D04991" w:rsidTr="000C1356">
        <w:trPr>
          <w:jc w:val="center"/>
        </w:trPr>
        <w:tc>
          <w:tcPr>
            <w:tcW w:w="3369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Investment-ready project dossiers</w:t>
            </w:r>
          </w:p>
        </w:tc>
        <w:tc>
          <w:tcPr>
            <w:tcW w:w="162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Baseline</w:t>
            </w:r>
          </w:p>
        </w:tc>
        <w:tc>
          <w:tcPr>
            <w:tcW w:w="135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3+</w:t>
            </w:r>
          </w:p>
        </w:tc>
        <w:tc>
          <w:tcPr>
            <w:tcW w:w="261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3+</w:t>
            </w:r>
          </w:p>
        </w:tc>
        <w:tc>
          <w:tcPr>
            <w:tcW w:w="150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4+</w:t>
            </w:r>
          </w:p>
        </w:tc>
      </w:tr>
      <w:tr w:rsidR="008813B8" w:rsidRPr="00D04991" w:rsidTr="000C1356">
        <w:trPr>
          <w:jc w:val="center"/>
        </w:trPr>
        <w:tc>
          <w:tcPr>
            <w:tcW w:w="3369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Investor site visits / engagements</w:t>
            </w:r>
          </w:p>
        </w:tc>
        <w:tc>
          <w:tcPr>
            <w:tcW w:w="162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Baseline</w:t>
            </w:r>
          </w:p>
        </w:tc>
        <w:tc>
          <w:tcPr>
            <w:tcW w:w="135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10+</w:t>
            </w:r>
          </w:p>
        </w:tc>
        <w:tc>
          <w:tcPr>
            <w:tcW w:w="261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12+</w:t>
            </w:r>
          </w:p>
        </w:tc>
        <w:tc>
          <w:tcPr>
            <w:tcW w:w="150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15+</w:t>
            </w:r>
          </w:p>
        </w:tc>
      </w:tr>
      <w:tr w:rsidR="008813B8" w:rsidRPr="00D04991" w:rsidTr="000C1356">
        <w:trPr>
          <w:jc w:val="center"/>
        </w:trPr>
        <w:tc>
          <w:tcPr>
            <w:tcW w:w="3369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Aftercare programme</w:t>
            </w:r>
          </w:p>
        </w:tc>
        <w:tc>
          <w:tcPr>
            <w:tcW w:w="162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Establish</w:t>
            </w:r>
          </w:p>
        </w:tc>
        <w:tc>
          <w:tcPr>
            <w:tcW w:w="135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Monthly</w:t>
            </w:r>
          </w:p>
        </w:tc>
        <w:tc>
          <w:tcPr>
            <w:tcW w:w="261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Monthly</w:t>
            </w:r>
          </w:p>
        </w:tc>
        <w:tc>
          <w:tcPr>
            <w:tcW w:w="150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Monthly</w:t>
            </w:r>
          </w:p>
        </w:tc>
      </w:tr>
      <w:tr w:rsidR="008813B8" w:rsidRPr="00D04991" w:rsidTr="000C1356">
        <w:trPr>
          <w:jc w:val="center"/>
        </w:trPr>
        <w:tc>
          <w:tcPr>
            <w:tcW w:w="3369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Priority PPP projects advanced</w:t>
            </w:r>
          </w:p>
        </w:tc>
        <w:tc>
          <w:tcPr>
            <w:tcW w:w="162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Screen</w:t>
            </w:r>
          </w:p>
        </w:tc>
        <w:tc>
          <w:tcPr>
            <w:tcW w:w="135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1–2</w:t>
            </w:r>
          </w:p>
        </w:tc>
        <w:tc>
          <w:tcPr>
            <w:tcW w:w="261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2–3</w:t>
            </w:r>
          </w:p>
        </w:tc>
        <w:tc>
          <w:tcPr>
            <w:tcW w:w="150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3+</w:t>
            </w:r>
          </w:p>
        </w:tc>
      </w:tr>
      <w:tr w:rsidR="008813B8" w:rsidRPr="00D04991" w:rsidTr="000C1356">
        <w:trPr>
          <w:jc w:val="center"/>
        </w:trPr>
        <w:tc>
          <w:tcPr>
            <w:tcW w:w="3369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CRM coverage</w:t>
            </w:r>
          </w:p>
        </w:tc>
        <w:tc>
          <w:tcPr>
            <w:tcW w:w="162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Establish</w:t>
            </w:r>
          </w:p>
        </w:tc>
        <w:tc>
          <w:tcPr>
            <w:tcW w:w="135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Expand</w:t>
            </w:r>
          </w:p>
        </w:tc>
        <w:tc>
          <w:tcPr>
            <w:tcW w:w="261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Full active pipeline</w:t>
            </w:r>
          </w:p>
        </w:tc>
        <w:tc>
          <w:tcPr>
            <w:tcW w:w="150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Continuous</w:t>
            </w:r>
          </w:p>
        </w:tc>
      </w:tr>
      <w:tr w:rsidR="008813B8" w:rsidRPr="00D04991" w:rsidTr="000C1356">
        <w:trPr>
          <w:jc w:val="center"/>
        </w:trPr>
        <w:tc>
          <w:tcPr>
            <w:tcW w:w="3369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Annual performance review</w:t>
            </w:r>
          </w:p>
        </w:tc>
        <w:tc>
          <w:tcPr>
            <w:tcW w:w="162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Yes</w:t>
            </w:r>
          </w:p>
        </w:tc>
        <w:tc>
          <w:tcPr>
            <w:tcW w:w="135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Yes</w:t>
            </w:r>
          </w:p>
        </w:tc>
        <w:tc>
          <w:tcPr>
            <w:tcW w:w="2610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Yes</w:t>
            </w:r>
          </w:p>
        </w:tc>
        <w:tc>
          <w:tcPr>
            <w:tcW w:w="1508" w:type="dxa"/>
            <w:vAlign w:val="center"/>
          </w:tcPr>
          <w:p w:rsidR="008813B8" w:rsidRPr="00D04991" w:rsidRDefault="00AA2D10">
            <w:pPr>
              <w:rPr>
                <w:rFonts w:hint="eastAsia"/>
                <w:sz w:val="28"/>
                <w:szCs w:val="28"/>
              </w:rPr>
            </w:pPr>
            <w:r w:rsidRPr="00D04991">
              <w:rPr>
                <w:sz w:val="28"/>
                <w:szCs w:val="28"/>
              </w:rPr>
              <w:t>Yes</w:t>
            </w:r>
          </w:p>
        </w:tc>
      </w:tr>
    </w:tbl>
    <w:p w:rsidR="00D04991" w:rsidRPr="00D04991" w:rsidRDefault="00AA2D10" w:rsidP="00D04991">
      <w:pPr>
        <w:rPr>
          <w:sz w:val="28"/>
          <w:szCs w:val="28"/>
        </w:rPr>
      </w:pPr>
      <w:r w:rsidRPr="00D04991">
        <w:rPr>
          <w:sz w:val="28"/>
          <w:szCs w:val="28"/>
        </w:rPr>
        <w:br/>
      </w:r>
      <w:r w:rsidR="00D04991" w:rsidRPr="00D04991">
        <w:rPr>
          <w:sz w:val="28"/>
          <w:szCs w:val="28"/>
        </w:rPr>
        <w:t>SIGNED:</w:t>
      </w:r>
    </w:p>
    <w:p w:rsidR="00D04991" w:rsidRPr="0096215F" w:rsidRDefault="00D04991" w:rsidP="0096215F">
      <w:pPr>
        <w:pStyle w:val="NoSpacing"/>
        <w:rPr>
          <w:b/>
          <w:sz w:val="28"/>
          <w:szCs w:val="28"/>
        </w:rPr>
      </w:pPr>
      <w:r w:rsidRPr="0096215F">
        <w:rPr>
          <w:b/>
          <w:sz w:val="28"/>
          <w:szCs w:val="28"/>
        </w:rPr>
        <w:t>Director, Planning Research and Statistics</w:t>
      </w:r>
      <w:r w:rsidR="0096215F">
        <w:rPr>
          <w:b/>
          <w:sz w:val="28"/>
          <w:szCs w:val="28"/>
        </w:rPr>
        <w:t>,</w:t>
      </w:r>
    </w:p>
    <w:p w:rsidR="008813B8" w:rsidRDefault="00D04991" w:rsidP="0096215F">
      <w:pPr>
        <w:pStyle w:val="NoSpacing"/>
        <w:rPr>
          <w:sz w:val="28"/>
          <w:szCs w:val="28"/>
        </w:rPr>
      </w:pPr>
      <w:r w:rsidRPr="0096215F">
        <w:rPr>
          <w:rFonts w:hint="eastAsia"/>
          <w:sz w:val="28"/>
          <w:szCs w:val="28"/>
        </w:rPr>
        <w:t>D</w:t>
      </w:r>
      <w:r w:rsidRPr="0096215F">
        <w:rPr>
          <w:sz w:val="28"/>
          <w:szCs w:val="28"/>
        </w:rPr>
        <w:t>elta State Investment Development Agency</w:t>
      </w:r>
      <w:r w:rsidR="0096215F">
        <w:rPr>
          <w:sz w:val="28"/>
          <w:szCs w:val="28"/>
        </w:rPr>
        <w:t>,</w:t>
      </w:r>
    </w:p>
    <w:p w:rsidR="0096215F" w:rsidRPr="0096215F" w:rsidRDefault="0096215F" w:rsidP="0096215F">
      <w:pPr>
        <w:pStyle w:val="NoSpacing"/>
        <w:rPr>
          <w:rFonts w:hint="eastAsia"/>
          <w:sz w:val="28"/>
          <w:szCs w:val="28"/>
        </w:rPr>
      </w:pPr>
      <w:r>
        <w:rPr>
          <w:sz w:val="28"/>
          <w:szCs w:val="28"/>
        </w:rPr>
        <w:t>February, 2026</w:t>
      </w:r>
    </w:p>
    <w:sectPr w:rsidR="0096215F" w:rsidRPr="0096215F" w:rsidSect="00034616">
      <w:headerReference w:type="default" r:id="rId9"/>
      <w:footerReference w:type="default" r:id="rId10"/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BFE" w:rsidRDefault="001A0BF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1A0BFE" w:rsidRDefault="001A0BF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D10" w:rsidRDefault="00AA2D10">
    <w:pPr>
      <w:pStyle w:val="Footer"/>
      <w:jc w:val="center"/>
      <w:rPr>
        <w:rFonts w:hint="eastAsia"/>
      </w:rPr>
    </w:pPr>
    <w:r>
      <w:t xml:space="preserve">DIDA Corporate Plan 2025–2028  |  Page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 w:rsidR="00C1719E">
      <w:rPr>
        <w:rFonts w:hint="eastAsia"/>
        <w:noProof/>
      </w:rPr>
      <w:t>18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BFE" w:rsidRDefault="001A0BF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1A0BFE" w:rsidRDefault="001A0BF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D10" w:rsidRDefault="00AA2D10">
    <w:pPr>
      <w:pStyle w:val="Header"/>
      <w:jc w:val="center"/>
      <w:rPr>
        <w:rFonts w:hint="eastAsia"/>
      </w:rPr>
    </w:pPr>
    <w:r>
      <w:rPr>
        <w:sz w:val="16"/>
      </w:rPr>
      <w:t>DELTA STATE INVESTMENT DEVELOPMENT AGENCY (DIDA)  |  #Invest Delta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5721"/>
    <w:rsid w:val="0006063C"/>
    <w:rsid w:val="000C1356"/>
    <w:rsid w:val="0015074B"/>
    <w:rsid w:val="001A0BFE"/>
    <w:rsid w:val="00263FA2"/>
    <w:rsid w:val="0029639D"/>
    <w:rsid w:val="00326F90"/>
    <w:rsid w:val="0044497D"/>
    <w:rsid w:val="008813B8"/>
    <w:rsid w:val="00892CED"/>
    <w:rsid w:val="0096215F"/>
    <w:rsid w:val="00AA1D8D"/>
    <w:rsid w:val="00AA2D10"/>
    <w:rsid w:val="00B47730"/>
    <w:rsid w:val="00BF74C1"/>
    <w:rsid w:val="00C1719E"/>
    <w:rsid w:val="00C22364"/>
    <w:rsid w:val="00CB0664"/>
    <w:rsid w:val="00D049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5DBC7B-3496-4A44-8991-647DDB226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19</Pages>
  <Words>2856</Words>
  <Characters>16282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19100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pri</cp:lastModifiedBy>
  <cp:revision>9</cp:revision>
  <dcterms:created xsi:type="dcterms:W3CDTF">2013-12-23T23:15:00Z</dcterms:created>
  <dcterms:modified xsi:type="dcterms:W3CDTF">2026-09-24T15:08:00Z</dcterms:modified>
  <cp:category/>
</cp:coreProperties>
</file>