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/>
      </w:pPr>
      <w:r>
        <w:rPr>
          <w:rFonts w:ascii="Arial" w:hAnsi="Arial"/>
          <w:b/>
          <w:sz w:val="36"/>
        </w:rPr>
        <w:t>DELTA STATE GOVERNMENT</w:t>
      </w:r>
      <w:r>
        <w:rPr>
          <w:rFonts w:ascii="Arial" w:hAnsi="Arial"/>
          <w:b/>
          <w:sz w:val="36"/>
        </w:rPr>
        <w:br/>
      </w:r>
      <w:r>
        <w:rPr>
          <w:rFonts w:ascii="Arial" w:hAnsi="Arial"/>
          <w:b/>
          <w:sz w:val="36"/>
        </w:rPr>
        <w:t>INVESTMENT INCENTIVES INVENTORY</w:t>
      </w:r>
    </w:p>
    <w:p>
      <w:pPr>
        <w:pStyle w:val="style0"/>
        <w:jc w:val="center"/>
        <w:rPr/>
      </w:pPr>
      <w:r>
        <w:rPr>
          <w:b/>
          <w:sz w:val="22"/>
        </w:rPr>
        <w:t>YEAR 2026 — BENEFICIARY/RECIPIENT DATA FOR FOUR REPORTING YEARS</w:t>
      </w:r>
    </w:p>
    <w:p>
      <w:pPr>
        <w:pStyle w:val="style0"/>
        <w:jc w:val="center"/>
        <w:rPr/>
      </w:pPr>
      <w:r>
        <w:rPr>
          <w:i/>
          <w:sz w:val="20"/>
        </w:rPr>
        <w:t>Prepared for: Delta State Investment Development Agency (DIDA)</w:t>
      </w:r>
    </w:p>
    <w:p>
      <w:pPr>
        <w:pStyle w:val="style0"/>
        <w:rPr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</w:tblGrid>
      <w:tr>
        <w:trPr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S/N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NAME OF INCENTIVE MEASURE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DESCRIPTION OF BENEFITS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YEAR INCENTIVE WAS PRODUCED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LEGAL REFERENCE INSTRUMENT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DURATION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FEDERAL LEVEL / 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AWARDING AND IMPLEMENTING AGENCY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ELIGIBILITY CRITERIA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AWARDING AGENCY OR AUTHORITY IN CHARGE OF ALLOCATION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NUMBER OF BENEFICIARIES / RECIPIENTS – 2022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NUMBER OF BENEFICIARIES / RECIPIENTS – 2023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NUMBER OF BENEFICIARIES / RECIPIENTS – 2024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nil" w:color="auto" w:fill="d9eaf7"/>
            <w:vAlign w:val="center"/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b/>
                <w:sz w:val="14"/>
              </w:rPr>
              <w:t>NUMBER OF BENEFICIARIES / RECIPIENTS – 202</w:t>
            </w:r>
            <w:r>
              <w:rPr>
                <w:rFonts w:ascii="Arial" w:hAnsi="Arial"/>
                <w:b/>
                <w:sz w:val="14"/>
                <w:lang w:val="en-US"/>
              </w:rPr>
              <w:t>5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Grant of waivers from payment of Tenement rates, fees, levies and other charges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Grant of waivers to new investors after the commencement of operations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Executive Council Approval (EXCO)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5 years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All 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Ministry of Lands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 new investor after the commencement of operations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Ministry of Land / Surveyor General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75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82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De-risking of investments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De-risk investments and take equity contribution up to 20% of the total Authorized Share Capital.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Exco &amp; Delta State House of Assembly (DSHA)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Initial year of start-up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All 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MDAs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Investments duly approved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MDA initiating/sponsoring investments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13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3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Assistance with land acquisition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Assist to acquire land and easy one-stop documentation process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Delta State Exco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Initial start-up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All 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Ministry of Lands and Survey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New investors / Existing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Ministry of Lands / Surveyor General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56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35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4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Tax holidays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Tax holiday for “pioneer” industries; pioneer status for industries located in economically disadvantaged areas of the Federation.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2016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NIPC Act / Fiscal Policy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7 years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All 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Federal / 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NIPC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New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NIPC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150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60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63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Provision of pre-industry studies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These pre-industry studies include Market Share Analysis involving Delta State, Nigeria and the West African Sub-Region.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Law 2016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Once for all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All 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Prospective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12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6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Manpower Resources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Helping investors with an appropriate pool of manpower resources.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Law 2016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As required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All 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Prospective and new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120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7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Intermediating between investors and the host communities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Intermediation between Traditional Rulers, Community Leadership and Associations, Youth Leaders and Groups, Market Women and other stakeholders.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Law 2016; State Economic Management Team Approval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As required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All 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/ Ministry of Trade &amp; Investment / Delta State Peace Advisory Council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New and existing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under One Stop Shop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16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8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Conflict Resolutions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Resolution of conflicts involving new or existing investors and their host communities.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Law 2016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As required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All 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/ Ministry of Justice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New and existing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/ Ministry of Justice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60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16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9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Access to State Government facilities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Investors are allowed access to State Government facilities during the course of their business start-ups.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Law 2016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As may be required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All 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/ MDAs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New investors / Existing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DIDA; Governor’s Office; Ministry of Trade &amp; Investment; Office of the SSG; Other relevant MDAs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150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250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262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10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DTSG Subsidize cost of manufactured products and infrastructure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Subsidies are paid on manufactured goods and infrastructure to act as support for off-takers.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Law 2016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As may be required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All sectors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MDAs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New investors / Existing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/ MDAs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8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8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11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Delta State Anti-Kidnapping Law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The Delta State Anti-Kidnapping Law came into existence to curb the incidence of kidnapping.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2016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Delta State Anti-Kidnapping Law 2016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Applicable to all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Applicable to all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Ministry of Justice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Applicable to all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Ministry of Justice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80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60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63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12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Public and Private Properties Protection Law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Law passed to curb frivolous levies, multiple sale of properties, disruption of developers, vandalization, encroachments and related offences.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2018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Public and Private Properties Protection Law 2018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Applicable to all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Applicable to all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Office of the Public and Private Properties Protection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Applicable to all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Office of the Public and Private Properties Protection, Governor’s Office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350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400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500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525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13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Delta State Special Economy Zone – Kwale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State-level initiative by Delta State in collaboration with NEPZA to establish and manage free trade / special economic zones within the State.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2021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Executive Council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Once and for all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Oil and Gas; Petrochemicals; Manufacturing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Federal and 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and NEPZA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New investors / Existing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DSEZ and NEPZA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5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10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14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Delta State Special Economy Zone – Koko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Expansion of capacity and upgrading of infrastructure, especially port facilities, with integration to Koko’s port and maritime logistics.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2021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NEPZA licence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Once and for all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Oil &amp; Gas; Petrochemical; Fertilizers; Metal &amp; Steel; Plastics; Ceramics; Pharmaceuticals; Agro-industrial Processing; Tourism; Residential &amp; Hospitality; Training Centres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Federal and 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DIDA and NEPZA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New investors / Existing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DSEZ and NEPZA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3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6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10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10</w:t>
            </w:r>
          </w:p>
        </w:tc>
      </w:tr>
      <w:tr>
        <w:tblPrEx/>
        <w:trPr>
          <w:cantSplit/>
          <w:jc w:val="center"/>
        </w:trPr>
        <w:tc>
          <w:tcPr>
            <w:tcW w:w="50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15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Aboh-Ogwashiuku Industrial Park</w:t>
            </w:r>
          </w:p>
        </w:tc>
        <w:tc>
          <w:tcPr>
            <w:tcW w:w="223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To drive agro-industrialization, enhance value addition and create rural-based employment.</w:t>
            </w:r>
          </w:p>
        </w:tc>
        <w:tc>
          <w:tcPr>
            <w:tcW w:w="9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2021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Executive Council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Once and for all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Agro-processing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State level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Ministry of Trade and Investment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New investors / Existing investors</w:t>
            </w:r>
          </w:p>
        </w:tc>
        <w:tc>
          <w:tcPr>
            <w:tcW w:w="16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left"/>
              <w:rPr/>
            </w:pPr>
            <w:r>
              <w:rPr>
                <w:rFonts w:ascii="Arial" w:hAnsi="Arial"/>
                <w:sz w:val="14"/>
              </w:rPr>
              <w:t>Ministry of Trade and Investment / Delta State Economic Management Team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NONE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NONE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NONE</w:t>
            </w:r>
          </w:p>
        </w:tc>
        <w:tc>
          <w:tcPr>
            <w:tcW w:w="8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>
            <w:pPr>
              <w:pStyle w:val="style0"/>
              <w:jc w:val="center"/>
              <w:rPr/>
            </w:pPr>
            <w:r>
              <w:rPr>
                <w:rFonts w:ascii="Arial" w:hAnsi="Arial"/>
                <w:sz w:val="14"/>
              </w:rPr>
              <w:t>NONE</w:t>
            </w:r>
          </w:p>
        </w:tc>
      </w:tr>
    </w:tbl>
    <w:p>
      <w:pPr>
        <w:pStyle w:val="style0"/>
        <w:rPr/>
      </w:pPr>
    </w:p>
    <w:p>
      <w:pPr>
        <w:pStyle w:val="style0"/>
        <w:rPr/>
      </w:pPr>
      <w:r>
        <w:rPr>
          <w:b/>
        </w:rPr>
        <w:t xml:space="preserve">Note: </w:t>
      </w:r>
      <w:r>
        <w:t>The four beneficiary/recipient columns retained in this updated inventory are 2022, 2023, 2024 and 2026, consistent with the reporting-year columns in the working inventory supplied. “NONE” indicates that no beneficiaries/recipients were recorded in the source inventory.</w:t>
      </w:r>
    </w:p>
    <w:sectPr>
      <w:pgSz w:w="12240" w:h="15840" w:orient="portrait"/>
      <w:pgMar w:top="720" w:right="648" w:bottom="720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Arial" w:hAnsi="Arial"/>
      <w:sz w:val="16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ac9b19d3-f66a-4760-a4b3-61bea1191d7a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da9475d0-5ac0-4c73-a73c-e8d8005407e2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7e9d036c-3161-4097-8696-b040f402e4c6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dbf92a18-a494-4bb1-a021-ba5eaca77c08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1203abf2-dbba-44e5-91f9-dd3528461058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3267f3b9-f123-4d38-a94f-b7e960fb2cd9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553d406c-bce2-42d2-a65d-1b7dd04c353e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d493825e-9006-41a8-81cc-0317dc1be0ae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44ad9e59-cf1c-4bbb-8296-9e4aeb863a36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5be48a73-745b-4dff-b154-f89af3634890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da41b271-9ccd-49e0-9d49-6498d58df2b4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c8f33fac-42e3-4e72-8f24-0eec4f2c8990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f591a1b2-461b-44ee-8373-bd4c81bbe02d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6d6db7a6-30d5-4705-896c-b71c3a4e4f06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893</Words>
  <Pages>1</Pages>
  <Characters>4952</Characters>
  <Application>WPS Office</Application>
  <DocSecurity>0</DocSecurity>
  <Paragraphs>262</Paragraphs>
  <ScaleCrop>false</ScaleCrop>
  <LinksUpToDate>false</LinksUpToDate>
  <CharactersWithSpaces>5608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TECNO KL5</lastModifiedBy>
  <dcterms:modified xsi:type="dcterms:W3CDTF">2026-09-23T15:42:14Z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936e1fc9e2fe4de183c5053f3482349b</vt:lpwstr>
  </property>
</Properties>
</file>